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60" w:rsidRDefault="00154542" w:rsidP="00154542">
      <w:pPr>
        <w:jc w:val="center"/>
      </w:pPr>
      <w:bookmarkStart w:id="0" w:name="_GoBack"/>
      <w:bookmarkEnd w:id="0"/>
      <w:r>
        <w:rPr>
          <w:noProof/>
        </w:rPr>
        <w:drawing>
          <wp:inline distT="0" distB="0" distL="0" distR="0">
            <wp:extent cx="8382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 CMY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1371600"/>
                    </a:xfrm>
                    <a:prstGeom prst="rect">
                      <a:avLst/>
                    </a:prstGeom>
                  </pic:spPr>
                </pic:pic>
              </a:graphicData>
            </a:graphic>
          </wp:inline>
        </w:drawing>
      </w:r>
    </w:p>
    <w:p w:rsidR="00F47D59" w:rsidRPr="00F64DD6" w:rsidRDefault="00F47D59" w:rsidP="00154542">
      <w:pPr>
        <w:spacing w:before="100" w:beforeAutospacing="1" w:after="100" w:afterAutospacing="1" w:line="240" w:lineRule="auto"/>
        <w:jc w:val="center"/>
        <w:outlineLvl w:val="1"/>
        <w:rPr>
          <w:rFonts w:ascii="Garamond" w:eastAsia="Times New Roman" w:hAnsi="Garamond" w:cs="Times New Roman"/>
          <w:bCs/>
          <w:spacing w:val="13"/>
          <w:sz w:val="24"/>
          <w:szCs w:val="24"/>
          <w:lang w:val="en"/>
        </w:rPr>
      </w:pPr>
      <w:r w:rsidRPr="00F64DD6">
        <w:rPr>
          <w:rFonts w:ascii="Garamond" w:eastAsia="Times New Roman" w:hAnsi="Garamond" w:cs="Times New Roman"/>
          <w:bCs/>
          <w:i/>
          <w:iCs/>
          <w:spacing w:val="13"/>
          <w:sz w:val="24"/>
          <w:szCs w:val="24"/>
        </w:rPr>
        <w:t>Coming Home:</w:t>
      </w:r>
      <w:r w:rsidRPr="00F64DD6">
        <w:rPr>
          <w:rFonts w:ascii="Garamond" w:eastAsia="Times New Roman" w:hAnsi="Garamond" w:cs="Times New Roman"/>
          <w:bCs/>
          <w:spacing w:val="13"/>
          <w:sz w:val="24"/>
          <w:szCs w:val="24"/>
        </w:rPr>
        <w:t xml:space="preserve"> </w:t>
      </w:r>
      <w:r w:rsidRPr="00F64DD6">
        <w:rPr>
          <w:rFonts w:ascii="Garamond" w:eastAsia="Times New Roman" w:hAnsi="Garamond" w:cs="Times New Roman"/>
          <w:bCs/>
          <w:spacing w:val="13"/>
          <w:sz w:val="24"/>
          <w:szCs w:val="24"/>
        </w:rPr>
        <w:br/>
        <w:t>Recovery, Treatment, &amp; Funding Strategies for Successful Reintegration of Formerly Incarcerated Persons Who Have a Serious Mental Illness</w:t>
      </w:r>
    </w:p>
    <w:p w:rsidR="00F47D59" w:rsidRPr="00F64DD6" w:rsidRDefault="00F47D59" w:rsidP="00154542">
      <w:pPr>
        <w:spacing w:before="100" w:beforeAutospacing="1" w:after="100" w:afterAutospacing="1" w:line="240" w:lineRule="auto"/>
        <w:jc w:val="center"/>
        <w:outlineLvl w:val="1"/>
        <w:rPr>
          <w:rFonts w:ascii="Garamond" w:eastAsia="Times New Roman" w:hAnsi="Garamond" w:cs="Times New Roman"/>
          <w:b/>
          <w:bCs/>
          <w:spacing w:val="13"/>
          <w:sz w:val="24"/>
          <w:szCs w:val="24"/>
          <w:lang w:val="en"/>
        </w:rPr>
      </w:pPr>
      <w:r w:rsidRPr="00F64DD6">
        <w:rPr>
          <w:rFonts w:ascii="Garamond" w:eastAsia="Times New Roman" w:hAnsi="Garamond" w:cs="Times New Roman"/>
          <w:b/>
          <w:bCs/>
          <w:spacing w:val="13"/>
          <w:sz w:val="24"/>
          <w:szCs w:val="24"/>
          <w:lang w:val="en"/>
        </w:rPr>
        <w:t>Presentation to the California State Senate Select Committee on Mental Health</w:t>
      </w:r>
    </w:p>
    <w:p w:rsidR="00F47D59" w:rsidRPr="00F64DD6" w:rsidRDefault="00F47D59" w:rsidP="00F47D59">
      <w:pPr>
        <w:spacing w:after="0" w:line="240" w:lineRule="auto"/>
        <w:jc w:val="center"/>
        <w:outlineLvl w:val="1"/>
        <w:rPr>
          <w:rFonts w:ascii="Garamond" w:eastAsia="Times New Roman" w:hAnsi="Garamond" w:cs="Times New Roman"/>
          <w:bCs/>
          <w:spacing w:val="13"/>
          <w:sz w:val="24"/>
          <w:szCs w:val="24"/>
          <w:lang w:val="en"/>
        </w:rPr>
      </w:pPr>
      <w:r w:rsidRPr="00F64DD6">
        <w:rPr>
          <w:rFonts w:ascii="Garamond" w:eastAsia="Times New Roman" w:hAnsi="Garamond" w:cs="Times New Roman"/>
          <w:bCs/>
          <w:spacing w:val="13"/>
          <w:sz w:val="24"/>
          <w:szCs w:val="24"/>
          <w:lang w:val="en"/>
        </w:rPr>
        <w:t>Ross Peterson, Vice President, National Marketing/Government Relations</w:t>
      </w:r>
    </w:p>
    <w:p w:rsidR="00F47D59" w:rsidRPr="00154542" w:rsidRDefault="00F47D59" w:rsidP="00F47D59">
      <w:pPr>
        <w:spacing w:after="0" w:line="240" w:lineRule="auto"/>
        <w:jc w:val="center"/>
        <w:outlineLvl w:val="1"/>
        <w:rPr>
          <w:rFonts w:ascii="Garamond" w:eastAsia="Times New Roman" w:hAnsi="Garamond" w:cs="Times New Roman"/>
          <w:bCs/>
          <w:spacing w:val="13"/>
          <w:sz w:val="24"/>
          <w:szCs w:val="24"/>
          <w:lang w:val="en"/>
        </w:rPr>
      </w:pPr>
      <w:r w:rsidRPr="00F64DD6">
        <w:rPr>
          <w:rFonts w:ascii="Garamond" w:eastAsia="Times New Roman" w:hAnsi="Garamond" w:cs="Times New Roman"/>
          <w:bCs/>
          <w:spacing w:val="13"/>
          <w:sz w:val="24"/>
          <w:szCs w:val="24"/>
          <w:lang w:val="en"/>
        </w:rPr>
        <w:t xml:space="preserve">Telecare Corporation </w:t>
      </w:r>
      <w:r w:rsidR="00154542" w:rsidRPr="00154542">
        <w:rPr>
          <w:rFonts w:ascii="Garamond" w:eastAsia="Times New Roman" w:hAnsi="Garamond" w:cs="Times New Roman"/>
          <w:bCs/>
          <w:spacing w:val="13"/>
          <w:sz w:val="24"/>
          <w:szCs w:val="24"/>
          <w:lang w:val="en"/>
        </w:rPr>
        <w:br/>
      </w:r>
      <w:r w:rsidRPr="00F64DD6">
        <w:rPr>
          <w:rFonts w:ascii="Garamond" w:eastAsia="Times New Roman" w:hAnsi="Garamond" w:cs="Times New Roman"/>
          <w:bCs/>
          <w:spacing w:val="13"/>
          <w:sz w:val="24"/>
          <w:szCs w:val="24"/>
          <w:lang w:val="en"/>
        </w:rPr>
        <w:t>May 31, 2013</w:t>
      </w:r>
    </w:p>
    <w:p w:rsidR="00154542" w:rsidRPr="00F64DD6" w:rsidRDefault="00154542" w:rsidP="00154542">
      <w:pPr>
        <w:rPr>
          <w:rFonts w:ascii="Garamond" w:hAnsi="Garamond"/>
        </w:rPr>
      </w:pPr>
    </w:p>
    <w:p w:rsidR="00FA2599" w:rsidRDefault="00152C67" w:rsidP="00E74F80">
      <w:pPr>
        <w:rPr>
          <w:rFonts w:ascii="Garamond" w:hAnsi="Garamond" w:cs="Times New Roman"/>
          <w:sz w:val="24"/>
          <w:szCs w:val="24"/>
          <w:u w:val="single"/>
        </w:rPr>
      </w:pPr>
      <w:r w:rsidRPr="00F64DD6">
        <w:rPr>
          <w:rFonts w:ascii="Garamond" w:hAnsi="Garamond" w:cs="Times New Roman"/>
          <w:sz w:val="24"/>
          <w:szCs w:val="24"/>
          <w:u w:val="single"/>
        </w:rPr>
        <w:t>Introduction</w:t>
      </w:r>
    </w:p>
    <w:p w:rsidR="009E47E2" w:rsidRDefault="000C065F" w:rsidP="00E74F80">
      <w:pPr>
        <w:rPr>
          <w:rFonts w:ascii="Garamond" w:hAnsi="Garamond" w:cs="Times New Roman"/>
          <w:sz w:val="24"/>
          <w:szCs w:val="24"/>
        </w:rPr>
      </w:pPr>
      <w:r>
        <w:rPr>
          <w:rFonts w:ascii="Garamond" w:hAnsi="Garamond" w:cs="Times New Roman"/>
          <w:sz w:val="24"/>
          <w:szCs w:val="24"/>
        </w:rPr>
        <w:t xml:space="preserve">Almost 20% of those currently serving time in California state prisons have a mental illness, most also have serious substance abuse issues. Using a cohesive approach to treatment when these offenders return to our community can break the cycle of </w:t>
      </w:r>
      <w:r w:rsidR="006D6B65">
        <w:rPr>
          <w:rFonts w:ascii="Garamond" w:hAnsi="Garamond" w:cs="Times New Roman"/>
          <w:sz w:val="24"/>
          <w:szCs w:val="24"/>
        </w:rPr>
        <w:t>making poor choices</w:t>
      </w:r>
      <w:r w:rsidR="00BA6717">
        <w:rPr>
          <w:rFonts w:ascii="Garamond" w:hAnsi="Garamond" w:cs="Times New Roman"/>
          <w:sz w:val="24"/>
          <w:szCs w:val="24"/>
        </w:rPr>
        <w:t>,</w:t>
      </w:r>
      <w:r w:rsidR="006D6B65">
        <w:rPr>
          <w:rFonts w:ascii="Garamond" w:hAnsi="Garamond" w:cs="Times New Roman"/>
          <w:sz w:val="24"/>
          <w:szCs w:val="24"/>
        </w:rPr>
        <w:t xml:space="preserve"> re</w:t>
      </w:r>
      <w:r>
        <w:rPr>
          <w:rFonts w:ascii="Garamond" w:hAnsi="Garamond" w:cs="Times New Roman"/>
          <w:sz w:val="24"/>
          <w:szCs w:val="24"/>
        </w:rPr>
        <w:t>offending and re</w:t>
      </w:r>
      <w:r w:rsidR="006D6B65">
        <w:rPr>
          <w:rFonts w:ascii="Garamond" w:hAnsi="Garamond" w:cs="Times New Roman"/>
          <w:sz w:val="24"/>
          <w:szCs w:val="24"/>
        </w:rPr>
        <w:t>-</w:t>
      </w:r>
      <w:r>
        <w:rPr>
          <w:rFonts w:ascii="Garamond" w:hAnsi="Garamond" w:cs="Times New Roman"/>
          <w:sz w:val="24"/>
          <w:szCs w:val="24"/>
        </w:rPr>
        <w:t>incarce</w:t>
      </w:r>
      <w:r w:rsidR="006D6B65">
        <w:rPr>
          <w:rFonts w:ascii="Garamond" w:hAnsi="Garamond" w:cs="Times New Roman"/>
          <w:sz w:val="24"/>
          <w:szCs w:val="24"/>
        </w:rPr>
        <w:t>r</w:t>
      </w:r>
      <w:r>
        <w:rPr>
          <w:rFonts w:ascii="Garamond" w:hAnsi="Garamond" w:cs="Times New Roman"/>
          <w:sz w:val="24"/>
          <w:szCs w:val="24"/>
        </w:rPr>
        <w:t>ation</w:t>
      </w:r>
      <w:r w:rsidR="006D6B65">
        <w:rPr>
          <w:rFonts w:ascii="Garamond" w:hAnsi="Garamond" w:cs="Times New Roman"/>
          <w:sz w:val="24"/>
          <w:szCs w:val="24"/>
        </w:rPr>
        <w:t xml:space="preserve">. </w:t>
      </w:r>
      <w:r>
        <w:rPr>
          <w:rFonts w:ascii="Garamond" w:hAnsi="Garamond" w:cs="Times New Roman"/>
          <w:sz w:val="24"/>
          <w:szCs w:val="24"/>
        </w:rPr>
        <w:t xml:space="preserve"> </w:t>
      </w:r>
      <w:r w:rsidR="006D6B65">
        <w:rPr>
          <w:rFonts w:ascii="Garamond" w:hAnsi="Garamond" w:cs="Times New Roman"/>
          <w:sz w:val="24"/>
          <w:szCs w:val="24"/>
        </w:rPr>
        <w:t xml:space="preserve">The outcomes demonstrated by programs such as the Mentally Ill Offenders Crime Reduction Grant Awards (MIOGRA), AB34/2034, and most recently the Integrated Services for Mentally Parolees (ISMIP) </w:t>
      </w:r>
      <w:r w:rsidR="00AF6F05">
        <w:rPr>
          <w:rFonts w:ascii="Garamond" w:hAnsi="Garamond" w:cs="Times New Roman"/>
          <w:sz w:val="24"/>
          <w:szCs w:val="24"/>
        </w:rPr>
        <w:t xml:space="preserve">provide us with a map of the road to success.   </w:t>
      </w:r>
    </w:p>
    <w:p w:rsidR="000C065F" w:rsidRPr="000C065F" w:rsidRDefault="00AF6F05" w:rsidP="00E74F80">
      <w:pPr>
        <w:rPr>
          <w:rFonts w:ascii="Garamond" w:hAnsi="Garamond" w:cs="Times New Roman"/>
          <w:sz w:val="24"/>
          <w:szCs w:val="24"/>
        </w:rPr>
      </w:pPr>
      <w:r>
        <w:rPr>
          <w:rFonts w:ascii="Garamond" w:hAnsi="Garamond" w:cs="Times New Roman"/>
          <w:sz w:val="24"/>
          <w:szCs w:val="24"/>
        </w:rPr>
        <w:t>Using Evidence Based Practice such as California’s version of Assertive Community Treatment (ACT), Full Service Partnerships, with access to housing, psychiatric treatment, smaller specialized paro</w:t>
      </w:r>
      <w:r w:rsidR="00EA5DB8">
        <w:rPr>
          <w:rFonts w:ascii="Garamond" w:hAnsi="Garamond" w:cs="Times New Roman"/>
          <w:sz w:val="24"/>
          <w:szCs w:val="24"/>
        </w:rPr>
        <w:t xml:space="preserve">lee agent case loads and starting medications and applications for benefits while offenders are still in prisons are part of this formula for success. With the expanded eligibility for Medi-Cal offer Affordable Health Care and allowing parolees’ access to Specialty Mental Health Medi-Cal we can use federal dollars to fund a major component of the cost of these programs.  </w:t>
      </w:r>
      <w:r w:rsidR="00BA6717">
        <w:rPr>
          <w:rFonts w:ascii="Garamond" w:hAnsi="Garamond" w:cs="Times New Roman"/>
          <w:sz w:val="24"/>
          <w:szCs w:val="24"/>
        </w:rPr>
        <w:t>The Senate President Pro Tem</w:t>
      </w:r>
      <w:r w:rsidR="009E47E2">
        <w:rPr>
          <w:rFonts w:ascii="Garamond" w:hAnsi="Garamond" w:cs="Times New Roman"/>
          <w:sz w:val="24"/>
          <w:szCs w:val="24"/>
        </w:rPr>
        <w:t>’s</w:t>
      </w:r>
      <w:r w:rsidR="00BA6717">
        <w:rPr>
          <w:rFonts w:ascii="Garamond" w:hAnsi="Garamond" w:cs="Times New Roman"/>
          <w:sz w:val="24"/>
          <w:szCs w:val="24"/>
        </w:rPr>
        <w:t xml:space="preserve"> proposal to expand ISMIP to 5,000 parolees can provide the frame work for this system transformation and ultimately create a safer more humane environment for the Citizens of California.  As a major provider of mental health services</w:t>
      </w:r>
      <w:r w:rsidR="00AD49D1">
        <w:rPr>
          <w:rFonts w:ascii="Garamond" w:hAnsi="Garamond" w:cs="Times New Roman"/>
          <w:sz w:val="24"/>
          <w:szCs w:val="24"/>
        </w:rPr>
        <w:t xml:space="preserve"> we have seen the proof of what is in our reach of possibilities. </w:t>
      </w:r>
    </w:p>
    <w:p w:rsidR="009E47E2" w:rsidRDefault="009E47E2" w:rsidP="00152C67">
      <w:pPr>
        <w:rPr>
          <w:rFonts w:ascii="Garamond" w:hAnsi="Garamond" w:cs="Times New Roman"/>
          <w:sz w:val="24"/>
          <w:szCs w:val="24"/>
          <w:u w:val="single"/>
        </w:rPr>
      </w:pPr>
    </w:p>
    <w:p w:rsidR="009E47E2" w:rsidRDefault="009E47E2" w:rsidP="00152C67">
      <w:pPr>
        <w:rPr>
          <w:rFonts w:ascii="Garamond" w:hAnsi="Garamond" w:cs="Times New Roman"/>
          <w:sz w:val="24"/>
          <w:szCs w:val="24"/>
          <w:u w:val="single"/>
        </w:rPr>
      </w:pPr>
    </w:p>
    <w:p w:rsidR="009E47E2" w:rsidRDefault="009E47E2" w:rsidP="00152C67">
      <w:pPr>
        <w:rPr>
          <w:rFonts w:ascii="Garamond" w:hAnsi="Garamond" w:cs="Times New Roman"/>
          <w:sz w:val="24"/>
          <w:szCs w:val="24"/>
          <w:u w:val="single"/>
        </w:rPr>
      </w:pPr>
    </w:p>
    <w:p w:rsidR="00152C67" w:rsidRPr="00F64DD6" w:rsidRDefault="00152C67" w:rsidP="00152C67">
      <w:pPr>
        <w:rPr>
          <w:rFonts w:ascii="Garamond" w:hAnsi="Garamond" w:cs="Times New Roman"/>
          <w:sz w:val="24"/>
          <w:szCs w:val="24"/>
          <w:u w:val="single"/>
        </w:rPr>
      </w:pPr>
      <w:r w:rsidRPr="00F64DD6">
        <w:rPr>
          <w:rFonts w:ascii="Garamond" w:hAnsi="Garamond" w:cs="Times New Roman"/>
          <w:sz w:val="24"/>
          <w:szCs w:val="24"/>
          <w:u w:val="single"/>
        </w:rPr>
        <w:lastRenderedPageBreak/>
        <w:t>About Telecare Corporation</w:t>
      </w:r>
    </w:p>
    <w:p w:rsidR="00E911B0" w:rsidRPr="009506E8" w:rsidRDefault="00E911B0" w:rsidP="00E911B0">
      <w:pPr>
        <w:spacing w:after="0" w:line="240" w:lineRule="auto"/>
        <w:rPr>
          <w:rFonts w:ascii="Garamond" w:hAnsi="Garamond" w:cs="Times New Roman"/>
          <w:sz w:val="24"/>
          <w:szCs w:val="24"/>
        </w:rPr>
      </w:pPr>
      <w:r w:rsidRPr="009506E8">
        <w:rPr>
          <w:rFonts w:ascii="Garamond" w:hAnsi="Garamond" w:cs="Times New Roman"/>
          <w:sz w:val="24"/>
          <w:szCs w:val="24"/>
        </w:rPr>
        <w:t>Telecare specializes in services and supports for consumers with serious mental illness and complex needs. We have more than 70 programs and 2,500 employees in California, Nebraska, North Carolina, Oregon, Pennsylvania, New Mexico, Texas and Washington. Our spectrum of services includes: Inpatient Acute; Inpatient Non-Acute; 23-Hour Crisis Stabilization; Residential (Crisis, Transitional); Full Service Partnerships; Case Management; and Prevention/Early Intervention. We also provide specialized services to individuals who face challenges in addition to their mental illness, including those who have current or histories of co-occurring substance use disorders, developmental disabilities, criminal justice involvement, homelessness, and physical health challenges.</w:t>
      </w:r>
    </w:p>
    <w:p w:rsidR="00E911B0" w:rsidRDefault="00E911B0" w:rsidP="0050147E">
      <w:pPr>
        <w:spacing w:after="0" w:line="240" w:lineRule="auto"/>
        <w:rPr>
          <w:rFonts w:ascii="Times New Roman" w:hAnsi="Times New Roman" w:cs="Times New Roman"/>
          <w:sz w:val="24"/>
          <w:szCs w:val="24"/>
        </w:rPr>
      </w:pPr>
    </w:p>
    <w:p w:rsidR="00152C67" w:rsidRDefault="00152C67" w:rsidP="00152C67">
      <w:pPr>
        <w:rPr>
          <w:rFonts w:ascii="Garamond" w:hAnsi="Garamond" w:cs="Times New Roman"/>
          <w:sz w:val="24"/>
          <w:szCs w:val="24"/>
          <w:u w:val="single"/>
        </w:rPr>
      </w:pPr>
      <w:r w:rsidRPr="00F64DD6">
        <w:rPr>
          <w:rFonts w:ascii="Garamond" w:hAnsi="Garamond" w:cs="Times New Roman"/>
          <w:sz w:val="24"/>
          <w:szCs w:val="24"/>
          <w:u w:val="single"/>
        </w:rPr>
        <w:t>Telecare’s Forensic Mental Health Services</w:t>
      </w:r>
    </w:p>
    <w:p w:rsidR="00A779EF" w:rsidRDefault="00A779EF" w:rsidP="009506E8">
      <w:pPr>
        <w:widowControl w:val="0"/>
        <w:spacing w:after="0" w:line="240" w:lineRule="auto"/>
        <w:jc w:val="both"/>
        <w:rPr>
          <w:rFonts w:ascii="Garamond" w:hAnsi="Garamond" w:cs="Arial"/>
          <w:sz w:val="24"/>
          <w:szCs w:val="24"/>
        </w:rPr>
      </w:pPr>
      <w:r w:rsidRPr="00A779EF">
        <w:rPr>
          <w:rFonts w:ascii="Garamond" w:hAnsi="Garamond" w:cs="Arial"/>
          <w:sz w:val="24"/>
          <w:szCs w:val="24"/>
        </w:rPr>
        <w:t xml:space="preserve">Telecare has extensive experience serving consumers with </w:t>
      </w:r>
      <w:r w:rsidR="009506E8">
        <w:rPr>
          <w:rFonts w:ascii="Garamond" w:hAnsi="Garamond" w:cs="Arial"/>
          <w:sz w:val="24"/>
          <w:szCs w:val="24"/>
        </w:rPr>
        <w:t xml:space="preserve">serious mental illness and </w:t>
      </w:r>
      <w:r w:rsidRPr="00A779EF">
        <w:rPr>
          <w:rFonts w:ascii="Garamond" w:hAnsi="Garamond" w:cs="Arial"/>
          <w:sz w:val="24"/>
          <w:szCs w:val="24"/>
        </w:rPr>
        <w:t>histories of criminal justice involvement through its AB34/2034, Secure Residential Treatment, Forensic A</w:t>
      </w:r>
      <w:r>
        <w:rPr>
          <w:rFonts w:ascii="Garamond" w:hAnsi="Garamond" w:cs="Arial"/>
          <w:sz w:val="24"/>
          <w:szCs w:val="24"/>
        </w:rPr>
        <w:t xml:space="preserve">ssertive </w:t>
      </w:r>
      <w:r w:rsidRPr="00A779EF">
        <w:rPr>
          <w:rFonts w:ascii="Garamond" w:hAnsi="Garamond" w:cs="Arial"/>
          <w:sz w:val="24"/>
          <w:szCs w:val="24"/>
        </w:rPr>
        <w:t>C</w:t>
      </w:r>
      <w:r>
        <w:rPr>
          <w:rFonts w:ascii="Garamond" w:hAnsi="Garamond" w:cs="Arial"/>
          <w:sz w:val="24"/>
          <w:szCs w:val="24"/>
        </w:rPr>
        <w:t xml:space="preserve">ommunity </w:t>
      </w:r>
      <w:r w:rsidRPr="00A779EF">
        <w:rPr>
          <w:rFonts w:ascii="Garamond" w:hAnsi="Garamond" w:cs="Arial"/>
          <w:sz w:val="24"/>
          <w:szCs w:val="24"/>
        </w:rPr>
        <w:t>T</w:t>
      </w:r>
      <w:r>
        <w:rPr>
          <w:rFonts w:ascii="Garamond" w:hAnsi="Garamond" w:cs="Arial"/>
          <w:sz w:val="24"/>
          <w:szCs w:val="24"/>
        </w:rPr>
        <w:t>reatment</w:t>
      </w:r>
      <w:r w:rsidRPr="00A779EF">
        <w:rPr>
          <w:rFonts w:ascii="Garamond" w:hAnsi="Garamond" w:cs="Arial"/>
          <w:sz w:val="24"/>
          <w:szCs w:val="24"/>
        </w:rPr>
        <w:t xml:space="preserve"> (FACT), </w:t>
      </w:r>
      <w:r w:rsidR="009506E8">
        <w:rPr>
          <w:rFonts w:ascii="Garamond" w:hAnsi="Garamond" w:cs="Arial"/>
          <w:sz w:val="24"/>
          <w:szCs w:val="24"/>
        </w:rPr>
        <w:t>Integrated Services for Mentally Ill Parolees</w:t>
      </w:r>
      <w:r w:rsidRPr="00A779EF">
        <w:rPr>
          <w:rFonts w:ascii="Garamond" w:hAnsi="Garamond" w:cs="Arial"/>
          <w:sz w:val="24"/>
          <w:szCs w:val="24"/>
        </w:rPr>
        <w:t xml:space="preserve"> (</w:t>
      </w:r>
      <w:r w:rsidR="009506E8">
        <w:rPr>
          <w:rFonts w:ascii="Garamond" w:hAnsi="Garamond" w:cs="Arial"/>
          <w:sz w:val="24"/>
          <w:szCs w:val="24"/>
        </w:rPr>
        <w:t>ISMIP</w:t>
      </w:r>
      <w:r w:rsidRPr="00A779EF">
        <w:rPr>
          <w:rFonts w:ascii="Garamond" w:hAnsi="Garamond" w:cs="Arial"/>
          <w:sz w:val="24"/>
          <w:szCs w:val="24"/>
        </w:rPr>
        <w:t>), and AB109 programs.</w:t>
      </w:r>
    </w:p>
    <w:p w:rsidR="009506E8" w:rsidRPr="00A779EF" w:rsidRDefault="009506E8" w:rsidP="009506E8">
      <w:pPr>
        <w:widowControl w:val="0"/>
        <w:spacing w:after="0" w:line="240" w:lineRule="auto"/>
        <w:jc w:val="both"/>
        <w:rPr>
          <w:rFonts w:ascii="Garamond" w:hAnsi="Garamond" w:cs="Arial"/>
          <w:sz w:val="24"/>
          <w:szCs w:val="24"/>
        </w:rPr>
      </w:pPr>
    </w:p>
    <w:p w:rsidR="00A779EF" w:rsidRPr="00A779EF" w:rsidRDefault="00A779EF" w:rsidP="009506E8">
      <w:pPr>
        <w:widowControl w:val="0"/>
        <w:spacing w:after="0" w:line="240" w:lineRule="auto"/>
        <w:jc w:val="both"/>
        <w:rPr>
          <w:rFonts w:ascii="Garamond" w:hAnsi="Garamond" w:cs="Arial"/>
          <w:sz w:val="24"/>
          <w:szCs w:val="24"/>
        </w:rPr>
      </w:pPr>
      <w:r w:rsidRPr="00A779EF">
        <w:rPr>
          <w:rFonts w:ascii="Garamond" w:hAnsi="Garamond" w:cs="Arial"/>
          <w:sz w:val="24"/>
          <w:szCs w:val="24"/>
        </w:rPr>
        <w:t>Implemented in 1999 to 2001, our AB34 and AB2034 model programs emphasized 24/7 availability, multi-disciplinary teams, and a comprehensive harm reduction approach to helping homeless clients with severe mental illness—including many with histories of incarceration—to obtain and maintain housing. Telecare operated seven AB2034 programs in California prior to the elimination of the AB2034 program. Four of these programs still operate today as ACT/FSP programs funded by the Mental Health Services Act (MHSA).</w:t>
      </w:r>
    </w:p>
    <w:p w:rsidR="009506E8" w:rsidRDefault="009506E8" w:rsidP="009506E8">
      <w:pPr>
        <w:widowControl w:val="0"/>
        <w:spacing w:after="0" w:line="240" w:lineRule="auto"/>
        <w:jc w:val="both"/>
        <w:rPr>
          <w:rFonts w:ascii="Garamond" w:hAnsi="Garamond" w:cs="Arial"/>
          <w:sz w:val="24"/>
          <w:szCs w:val="24"/>
        </w:rPr>
      </w:pPr>
    </w:p>
    <w:p w:rsidR="00A779EF" w:rsidRPr="00A779EF" w:rsidRDefault="00A779EF" w:rsidP="009506E8">
      <w:pPr>
        <w:widowControl w:val="0"/>
        <w:spacing w:after="0" w:line="240" w:lineRule="auto"/>
        <w:jc w:val="both"/>
        <w:rPr>
          <w:rFonts w:ascii="Garamond" w:hAnsi="Garamond" w:cs="Arial"/>
          <w:sz w:val="24"/>
          <w:szCs w:val="24"/>
        </w:rPr>
      </w:pPr>
      <w:r w:rsidRPr="00A779EF">
        <w:rPr>
          <w:rFonts w:ascii="Garamond" w:hAnsi="Garamond" w:cs="Arial"/>
          <w:sz w:val="24"/>
          <w:szCs w:val="24"/>
        </w:rPr>
        <w:t>Telecare provides two secure residential treatment programs in Oregon, established in 2006 and 2010. The Recovery Center at Woodburn is a secure residential treatment facility serving consumers under the jurisdiction of the Oregon Psychiatric Security Review Board (PSRB). The Recovery Center at Woodburn has provided the state with significant savings by delivering services and supports in a setting that is more therapeutic and less costly than the state hospital. A second secure residential facility serves eight PSRB clients and eight civilly committed clients in Bend, Oregon.</w:t>
      </w:r>
    </w:p>
    <w:p w:rsidR="009506E8" w:rsidRDefault="009506E8" w:rsidP="009506E8">
      <w:pPr>
        <w:widowControl w:val="0"/>
        <w:spacing w:after="0" w:line="240" w:lineRule="auto"/>
        <w:jc w:val="both"/>
        <w:rPr>
          <w:rFonts w:ascii="Garamond" w:hAnsi="Garamond" w:cs="Arial"/>
          <w:sz w:val="24"/>
          <w:szCs w:val="24"/>
        </w:rPr>
      </w:pPr>
    </w:p>
    <w:p w:rsidR="005C5FA3" w:rsidRDefault="00A779EF" w:rsidP="009506E8">
      <w:pPr>
        <w:widowControl w:val="0"/>
        <w:spacing w:after="0" w:line="240" w:lineRule="auto"/>
        <w:jc w:val="both"/>
        <w:rPr>
          <w:rFonts w:ascii="Garamond" w:hAnsi="Garamond" w:cs="Arial"/>
          <w:sz w:val="24"/>
          <w:szCs w:val="24"/>
        </w:rPr>
      </w:pPr>
      <w:r w:rsidRPr="00A779EF">
        <w:rPr>
          <w:rFonts w:ascii="Garamond" w:hAnsi="Garamond" w:cs="Arial"/>
          <w:sz w:val="24"/>
          <w:szCs w:val="24"/>
        </w:rPr>
        <w:t xml:space="preserve">Our first FACT program was established in 2008 in San Bernardino County, and we have since added three more FACT programs providing ACT/FSP services specifically tailored for consumers with serious mental illness and histories of criminal justice involvement. These programs frequently work in partnership with mental health courts or special probation caseloads, and/or include a probation officer on the multidisciplinary team. Serving </w:t>
      </w:r>
      <w:r w:rsidR="009506E8">
        <w:rPr>
          <w:rFonts w:ascii="Garamond" w:hAnsi="Garamond" w:cs="Arial"/>
          <w:sz w:val="24"/>
          <w:szCs w:val="24"/>
        </w:rPr>
        <w:t xml:space="preserve">a total of </w:t>
      </w:r>
      <w:r w:rsidRPr="00A779EF">
        <w:rPr>
          <w:rFonts w:ascii="Garamond" w:hAnsi="Garamond" w:cs="Arial"/>
          <w:sz w:val="24"/>
          <w:szCs w:val="24"/>
        </w:rPr>
        <w:t xml:space="preserve">195 consumers, our FACT programs reduce the frequency and length of acute psychiatric hospital admissions; improve individuals’ ability to function in the community; and reduce the frequency and length of incarcerations. </w:t>
      </w:r>
      <w:r w:rsidR="005C5FA3">
        <w:rPr>
          <w:rFonts w:ascii="Garamond" w:hAnsi="Garamond" w:cs="Arial"/>
          <w:sz w:val="24"/>
          <w:szCs w:val="24"/>
        </w:rPr>
        <w:t xml:space="preserve">The following chart demonstrates significant </w:t>
      </w:r>
      <w:r w:rsidR="00A96AC8">
        <w:rPr>
          <w:rFonts w:ascii="Garamond" w:hAnsi="Garamond" w:cs="Arial"/>
          <w:sz w:val="24"/>
          <w:szCs w:val="24"/>
        </w:rPr>
        <w:t xml:space="preserve">pre/post enrollment </w:t>
      </w:r>
      <w:r w:rsidR="005C5FA3">
        <w:rPr>
          <w:rFonts w:ascii="Garamond" w:hAnsi="Garamond" w:cs="Arial"/>
          <w:sz w:val="24"/>
          <w:szCs w:val="24"/>
        </w:rPr>
        <w:t xml:space="preserve">reductions in </w:t>
      </w:r>
      <w:r w:rsidR="00A96AC8">
        <w:rPr>
          <w:rFonts w:ascii="Garamond" w:hAnsi="Garamond" w:cs="Arial"/>
          <w:sz w:val="24"/>
          <w:szCs w:val="24"/>
        </w:rPr>
        <w:t xml:space="preserve">psychiatric hospital utilization, re-incarcerations and homelessness experienced by participants of the San Bernardino FACT program. </w:t>
      </w:r>
    </w:p>
    <w:p w:rsidR="005C5FA3" w:rsidRDefault="005C5FA3" w:rsidP="009506E8">
      <w:pPr>
        <w:widowControl w:val="0"/>
        <w:spacing w:after="0" w:line="240" w:lineRule="auto"/>
        <w:jc w:val="both"/>
        <w:rPr>
          <w:rFonts w:ascii="Garamond" w:hAnsi="Garamond" w:cs="Arial"/>
          <w:sz w:val="24"/>
          <w:szCs w:val="24"/>
        </w:rPr>
      </w:pPr>
    </w:p>
    <w:p w:rsidR="005C5FA3" w:rsidRDefault="005C5FA3" w:rsidP="009506E8">
      <w:pPr>
        <w:widowControl w:val="0"/>
        <w:spacing w:after="0" w:line="240" w:lineRule="auto"/>
        <w:jc w:val="both"/>
        <w:rPr>
          <w:rFonts w:ascii="Garamond" w:hAnsi="Garamond" w:cs="Arial"/>
          <w:sz w:val="24"/>
          <w:szCs w:val="24"/>
        </w:rPr>
      </w:pPr>
      <w:r>
        <w:rPr>
          <w:rFonts w:ascii="Garamond" w:hAnsi="Garamond" w:cs="Arial"/>
          <w:noProof/>
          <w:sz w:val="24"/>
          <w:szCs w:val="24"/>
        </w:rPr>
        <w:lastRenderedPageBreak/>
        <w:drawing>
          <wp:inline distT="0" distB="0" distL="0" distR="0" wp14:anchorId="728DBE0F">
            <wp:extent cx="5862772" cy="3156070"/>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6835" cy="3158257"/>
                    </a:xfrm>
                    <a:prstGeom prst="rect">
                      <a:avLst/>
                    </a:prstGeom>
                    <a:noFill/>
                  </pic:spPr>
                </pic:pic>
              </a:graphicData>
            </a:graphic>
          </wp:inline>
        </w:drawing>
      </w:r>
    </w:p>
    <w:p w:rsidR="005C5FA3" w:rsidRDefault="005C5FA3" w:rsidP="009506E8">
      <w:pPr>
        <w:widowControl w:val="0"/>
        <w:spacing w:after="0" w:line="240" w:lineRule="auto"/>
        <w:jc w:val="both"/>
        <w:rPr>
          <w:rFonts w:ascii="Garamond" w:hAnsi="Garamond" w:cs="Arial"/>
          <w:sz w:val="24"/>
          <w:szCs w:val="24"/>
        </w:rPr>
      </w:pPr>
    </w:p>
    <w:p w:rsidR="00A779EF" w:rsidRDefault="00A779EF" w:rsidP="009506E8">
      <w:pPr>
        <w:widowControl w:val="0"/>
        <w:spacing w:after="0" w:line="240" w:lineRule="auto"/>
        <w:jc w:val="both"/>
        <w:rPr>
          <w:rFonts w:ascii="Garamond" w:hAnsi="Garamond" w:cs="Arial"/>
          <w:sz w:val="24"/>
          <w:szCs w:val="24"/>
        </w:rPr>
      </w:pPr>
      <w:r w:rsidRPr="00A779EF">
        <w:rPr>
          <w:rFonts w:ascii="Garamond" w:hAnsi="Garamond" w:cs="Arial"/>
          <w:sz w:val="24"/>
          <w:szCs w:val="24"/>
        </w:rPr>
        <w:t>In 2011, the County and San Bernardino FACT were given a National Association of Counties Achievement Award for innovation in new programs.</w:t>
      </w:r>
    </w:p>
    <w:p w:rsidR="009506E8" w:rsidRPr="00A779EF" w:rsidRDefault="009506E8" w:rsidP="009506E8">
      <w:pPr>
        <w:widowControl w:val="0"/>
        <w:spacing w:after="0" w:line="240" w:lineRule="auto"/>
        <w:jc w:val="both"/>
        <w:rPr>
          <w:rFonts w:ascii="Garamond" w:hAnsi="Garamond" w:cs="Arial"/>
          <w:sz w:val="24"/>
          <w:szCs w:val="24"/>
        </w:rPr>
      </w:pPr>
    </w:p>
    <w:p w:rsidR="00B74C75" w:rsidRDefault="00A779EF" w:rsidP="009506E8">
      <w:pPr>
        <w:widowControl w:val="0"/>
        <w:spacing w:after="0" w:line="240" w:lineRule="auto"/>
        <w:jc w:val="both"/>
        <w:rPr>
          <w:rFonts w:ascii="Garamond" w:hAnsi="Garamond" w:cs="Arial"/>
          <w:sz w:val="24"/>
          <w:szCs w:val="24"/>
        </w:rPr>
      </w:pPr>
      <w:r w:rsidRPr="00A779EF">
        <w:rPr>
          <w:rFonts w:ascii="Garamond" w:hAnsi="Garamond" w:cs="Arial"/>
          <w:sz w:val="24"/>
          <w:szCs w:val="24"/>
        </w:rPr>
        <w:t xml:space="preserve">In 2009, Telecare partnered with the California Department of Corrections and Rehabilitation (CDCR) to implement </w:t>
      </w:r>
      <w:r w:rsidR="009506E8">
        <w:rPr>
          <w:rFonts w:ascii="Garamond" w:hAnsi="Garamond" w:cs="Arial"/>
          <w:sz w:val="24"/>
          <w:szCs w:val="24"/>
        </w:rPr>
        <w:t>the Integrated Services for Mentally Ill Parolees (ISMIP)</w:t>
      </w:r>
      <w:r w:rsidRPr="00A779EF">
        <w:rPr>
          <w:rFonts w:ascii="Garamond" w:hAnsi="Garamond" w:cs="Arial"/>
          <w:sz w:val="24"/>
          <w:szCs w:val="24"/>
        </w:rPr>
        <w:t xml:space="preserve"> </w:t>
      </w:r>
      <w:r w:rsidR="009506E8">
        <w:rPr>
          <w:rFonts w:ascii="Garamond" w:hAnsi="Garamond" w:cs="Arial"/>
          <w:sz w:val="24"/>
          <w:szCs w:val="24"/>
        </w:rPr>
        <w:t xml:space="preserve">program in </w:t>
      </w:r>
      <w:r w:rsidRPr="00A779EF">
        <w:rPr>
          <w:rFonts w:ascii="Garamond" w:hAnsi="Garamond" w:cs="Arial"/>
          <w:sz w:val="24"/>
          <w:szCs w:val="24"/>
        </w:rPr>
        <w:t xml:space="preserve">San Diego, San Bernardino, and Los Angeles Counties in order to address the problem of high recidivism rates among parolees with serious mental illness. </w:t>
      </w:r>
      <w:r w:rsidR="005C5FA3">
        <w:rPr>
          <w:rFonts w:ascii="Garamond" w:hAnsi="Garamond" w:cs="Arial"/>
          <w:sz w:val="24"/>
          <w:szCs w:val="24"/>
        </w:rPr>
        <w:t xml:space="preserve">Telecare named these programs </w:t>
      </w:r>
      <w:r w:rsidR="005C5FA3" w:rsidRPr="005C5FA3">
        <w:rPr>
          <w:rFonts w:ascii="Garamond" w:hAnsi="Garamond" w:cs="Arial"/>
          <w:sz w:val="24"/>
          <w:szCs w:val="24"/>
        </w:rPr>
        <w:t xml:space="preserve">Corrections Outreach Recovery Enhancement </w:t>
      </w:r>
      <w:r w:rsidR="005C5FA3">
        <w:rPr>
          <w:rFonts w:ascii="Garamond" w:hAnsi="Garamond" w:cs="Arial"/>
          <w:sz w:val="24"/>
          <w:szCs w:val="24"/>
        </w:rPr>
        <w:t xml:space="preserve">(CORE). </w:t>
      </w:r>
      <w:r w:rsidR="00B74C75">
        <w:rPr>
          <w:rFonts w:ascii="Garamond" w:hAnsi="Garamond" w:cs="Arial"/>
          <w:sz w:val="24"/>
          <w:szCs w:val="24"/>
        </w:rPr>
        <w:t xml:space="preserve">Key features of the </w:t>
      </w:r>
      <w:r w:rsidR="005C5FA3">
        <w:rPr>
          <w:rFonts w:ascii="Garamond" w:hAnsi="Garamond" w:cs="Arial"/>
          <w:sz w:val="24"/>
          <w:szCs w:val="24"/>
        </w:rPr>
        <w:t>CORE</w:t>
      </w:r>
      <w:r w:rsidR="00B74C75">
        <w:rPr>
          <w:rFonts w:ascii="Garamond" w:hAnsi="Garamond" w:cs="Arial"/>
          <w:sz w:val="24"/>
          <w:szCs w:val="24"/>
        </w:rPr>
        <w:t xml:space="preserve"> include:</w:t>
      </w:r>
    </w:p>
    <w:p w:rsidR="00B74C75" w:rsidRDefault="00B74C75" w:rsidP="009506E8">
      <w:pPr>
        <w:widowControl w:val="0"/>
        <w:spacing w:after="0" w:line="240" w:lineRule="auto"/>
        <w:jc w:val="both"/>
        <w:rPr>
          <w:rFonts w:ascii="Garamond" w:hAnsi="Garamond" w:cs="Arial"/>
          <w:sz w:val="24"/>
          <w:szCs w:val="24"/>
        </w:rPr>
      </w:pPr>
      <w:r>
        <w:rPr>
          <w:rFonts w:ascii="Garamond" w:hAnsi="Garamond" w:cs="Arial"/>
          <w:sz w:val="24"/>
          <w:szCs w:val="24"/>
        </w:rPr>
        <w:t xml:space="preserve"> </w:t>
      </w:r>
    </w:p>
    <w:p w:rsidR="009506E8" w:rsidRPr="00B74C75" w:rsidRDefault="009506E8" w:rsidP="00B74C75">
      <w:pPr>
        <w:pStyle w:val="ListParagraph"/>
        <w:widowControl w:val="0"/>
        <w:numPr>
          <w:ilvl w:val="0"/>
          <w:numId w:val="9"/>
        </w:numPr>
        <w:spacing w:after="0" w:line="240" w:lineRule="auto"/>
        <w:jc w:val="both"/>
        <w:rPr>
          <w:rFonts w:ascii="Garamond" w:hAnsi="Garamond" w:cs="Arial"/>
          <w:sz w:val="24"/>
          <w:szCs w:val="24"/>
        </w:rPr>
      </w:pPr>
      <w:r w:rsidRPr="00B74C75">
        <w:rPr>
          <w:rFonts w:ascii="Garamond" w:hAnsi="Garamond" w:cs="Arial"/>
          <w:sz w:val="24"/>
          <w:szCs w:val="24"/>
        </w:rPr>
        <w:t>Multidisciplinary Team (ACT) approach</w:t>
      </w:r>
    </w:p>
    <w:p w:rsidR="009506E8" w:rsidRPr="00B74C75" w:rsidRDefault="009506E8" w:rsidP="00B74C75">
      <w:pPr>
        <w:pStyle w:val="ListParagraph"/>
        <w:widowControl w:val="0"/>
        <w:numPr>
          <w:ilvl w:val="0"/>
          <w:numId w:val="9"/>
        </w:numPr>
        <w:spacing w:after="0" w:line="240" w:lineRule="auto"/>
        <w:jc w:val="both"/>
        <w:rPr>
          <w:rFonts w:ascii="Garamond" w:hAnsi="Garamond" w:cs="Arial"/>
          <w:sz w:val="24"/>
          <w:szCs w:val="24"/>
        </w:rPr>
      </w:pPr>
      <w:r w:rsidRPr="00B74C75">
        <w:rPr>
          <w:rFonts w:ascii="Garamond" w:hAnsi="Garamond" w:cs="Arial"/>
          <w:sz w:val="24"/>
          <w:szCs w:val="24"/>
        </w:rPr>
        <w:t xml:space="preserve">Integrated services  </w:t>
      </w:r>
    </w:p>
    <w:p w:rsidR="009506E8" w:rsidRPr="00B74C75" w:rsidRDefault="009506E8" w:rsidP="00B74C75">
      <w:pPr>
        <w:pStyle w:val="ListParagraph"/>
        <w:widowControl w:val="0"/>
        <w:numPr>
          <w:ilvl w:val="0"/>
          <w:numId w:val="9"/>
        </w:numPr>
        <w:spacing w:after="0" w:line="240" w:lineRule="auto"/>
        <w:jc w:val="both"/>
        <w:rPr>
          <w:rFonts w:ascii="Garamond" w:hAnsi="Garamond" w:cs="Arial"/>
          <w:sz w:val="24"/>
          <w:szCs w:val="24"/>
        </w:rPr>
      </w:pPr>
      <w:r w:rsidRPr="00B74C75">
        <w:rPr>
          <w:rFonts w:ascii="Garamond" w:hAnsi="Garamond" w:cs="Arial"/>
          <w:sz w:val="24"/>
          <w:szCs w:val="24"/>
        </w:rPr>
        <w:t xml:space="preserve">Low client-staff ratios </w:t>
      </w:r>
    </w:p>
    <w:p w:rsidR="009506E8" w:rsidRPr="00B74C75" w:rsidRDefault="009506E8" w:rsidP="00B74C75">
      <w:pPr>
        <w:pStyle w:val="ListParagraph"/>
        <w:widowControl w:val="0"/>
        <w:numPr>
          <w:ilvl w:val="0"/>
          <w:numId w:val="9"/>
        </w:numPr>
        <w:spacing w:after="0" w:line="240" w:lineRule="auto"/>
        <w:jc w:val="both"/>
        <w:rPr>
          <w:rFonts w:ascii="Garamond" w:hAnsi="Garamond" w:cs="Arial"/>
          <w:sz w:val="24"/>
          <w:szCs w:val="24"/>
        </w:rPr>
      </w:pPr>
      <w:r w:rsidRPr="00B74C75">
        <w:rPr>
          <w:rFonts w:ascii="Garamond" w:hAnsi="Garamond" w:cs="Arial"/>
          <w:sz w:val="24"/>
          <w:szCs w:val="24"/>
        </w:rPr>
        <w:t>Locus of contact in the community</w:t>
      </w:r>
    </w:p>
    <w:p w:rsidR="009506E8" w:rsidRPr="00B74C75" w:rsidRDefault="009506E8" w:rsidP="00B74C75">
      <w:pPr>
        <w:pStyle w:val="ListParagraph"/>
        <w:widowControl w:val="0"/>
        <w:numPr>
          <w:ilvl w:val="0"/>
          <w:numId w:val="9"/>
        </w:numPr>
        <w:spacing w:after="0" w:line="240" w:lineRule="auto"/>
        <w:jc w:val="both"/>
        <w:rPr>
          <w:rFonts w:ascii="Garamond" w:hAnsi="Garamond" w:cs="Arial"/>
          <w:sz w:val="24"/>
          <w:szCs w:val="24"/>
        </w:rPr>
      </w:pPr>
      <w:r w:rsidRPr="00B74C75">
        <w:rPr>
          <w:rFonts w:ascii="Garamond" w:hAnsi="Garamond" w:cs="Arial"/>
          <w:sz w:val="24"/>
          <w:szCs w:val="24"/>
        </w:rPr>
        <w:t>Medication management (Medi-Cal)</w:t>
      </w:r>
    </w:p>
    <w:p w:rsidR="009506E8" w:rsidRPr="00B74C75" w:rsidRDefault="009506E8" w:rsidP="00B74C75">
      <w:pPr>
        <w:pStyle w:val="ListParagraph"/>
        <w:widowControl w:val="0"/>
        <w:numPr>
          <w:ilvl w:val="0"/>
          <w:numId w:val="9"/>
        </w:numPr>
        <w:spacing w:after="0" w:line="240" w:lineRule="auto"/>
        <w:jc w:val="both"/>
        <w:rPr>
          <w:rFonts w:ascii="Garamond" w:hAnsi="Garamond" w:cs="Arial"/>
          <w:sz w:val="24"/>
          <w:szCs w:val="24"/>
        </w:rPr>
      </w:pPr>
      <w:r w:rsidRPr="00B74C75">
        <w:rPr>
          <w:rFonts w:ascii="Garamond" w:hAnsi="Garamond" w:cs="Arial"/>
          <w:sz w:val="24"/>
          <w:szCs w:val="24"/>
        </w:rPr>
        <w:t>Focu</w:t>
      </w:r>
      <w:r w:rsidR="00B74C75">
        <w:rPr>
          <w:rFonts w:ascii="Garamond" w:hAnsi="Garamond" w:cs="Arial"/>
          <w:sz w:val="24"/>
          <w:szCs w:val="24"/>
        </w:rPr>
        <w:t>s on everyday issues and problems in community reintegration</w:t>
      </w:r>
    </w:p>
    <w:p w:rsidR="009E47E2" w:rsidRDefault="009E47E2" w:rsidP="009506E8">
      <w:pPr>
        <w:widowControl w:val="0"/>
        <w:spacing w:after="0" w:line="240" w:lineRule="auto"/>
        <w:jc w:val="both"/>
        <w:rPr>
          <w:rFonts w:ascii="Garamond" w:hAnsi="Garamond" w:cs="Arial"/>
          <w:sz w:val="24"/>
          <w:szCs w:val="24"/>
        </w:rPr>
      </w:pPr>
    </w:p>
    <w:p w:rsidR="00A779EF" w:rsidRDefault="00A779EF" w:rsidP="009506E8">
      <w:pPr>
        <w:widowControl w:val="0"/>
        <w:spacing w:after="0" w:line="240" w:lineRule="auto"/>
        <w:jc w:val="both"/>
        <w:rPr>
          <w:rFonts w:ascii="Garamond" w:hAnsi="Garamond" w:cs="Arial"/>
          <w:sz w:val="24"/>
          <w:szCs w:val="24"/>
        </w:rPr>
      </w:pPr>
      <w:r w:rsidRPr="00A779EF">
        <w:rPr>
          <w:rFonts w:ascii="Garamond" w:hAnsi="Garamond" w:cs="Arial"/>
          <w:sz w:val="24"/>
          <w:szCs w:val="24"/>
        </w:rPr>
        <w:t>These programs serve 200 consumers.</w:t>
      </w:r>
      <w:r w:rsidR="009506E8">
        <w:rPr>
          <w:rFonts w:ascii="Garamond" w:hAnsi="Garamond" w:cs="Arial"/>
          <w:sz w:val="24"/>
          <w:szCs w:val="24"/>
        </w:rPr>
        <w:t xml:space="preserve"> Pre- and post-enrollment client data demonstrate </w:t>
      </w:r>
      <w:r w:rsidR="00B74C75">
        <w:rPr>
          <w:rFonts w:ascii="Garamond" w:hAnsi="Garamond" w:cs="Arial"/>
          <w:sz w:val="24"/>
          <w:szCs w:val="24"/>
        </w:rPr>
        <w:t>significant</w:t>
      </w:r>
      <w:r w:rsidR="009506E8">
        <w:rPr>
          <w:rFonts w:ascii="Garamond" w:hAnsi="Garamond" w:cs="Arial"/>
          <w:sz w:val="24"/>
          <w:szCs w:val="24"/>
        </w:rPr>
        <w:t xml:space="preserve"> reductions in re-incarcerations, and homelessness. </w:t>
      </w:r>
      <w:r w:rsidR="005C5FA3">
        <w:rPr>
          <w:rFonts w:ascii="Garamond" w:hAnsi="Garamond" w:cs="Arial"/>
          <w:sz w:val="24"/>
          <w:szCs w:val="24"/>
        </w:rPr>
        <w:t>The following charts capture client outcome data in the CORE-L.A. 1 program.</w:t>
      </w:r>
    </w:p>
    <w:p w:rsidR="00A96AC8" w:rsidRDefault="00A96AC8" w:rsidP="009506E8">
      <w:pPr>
        <w:widowControl w:val="0"/>
        <w:spacing w:after="0" w:line="240" w:lineRule="auto"/>
        <w:jc w:val="both"/>
        <w:rPr>
          <w:rFonts w:ascii="Garamond" w:hAnsi="Garamond" w:cs="Arial"/>
          <w:sz w:val="24"/>
          <w:szCs w:val="24"/>
        </w:rPr>
      </w:pPr>
    </w:p>
    <w:p w:rsidR="005C5FA3" w:rsidRDefault="00A96AC8" w:rsidP="009506E8">
      <w:pPr>
        <w:widowControl w:val="0"/>
        <w:spacing w:after="0" w:line="240" w:lineRule="auto"/>
        <w:jc w:val="both"/>
        <w:rPr>
          <w:rFonts w:ascii="Garamond" w:hAnsi="Garamond" w:cs="Arial"/>
          <w:sz w:val="24"/>
          <w:szCs w:val="24"/>
        </w:rPr>
      </w:pPr>
      <w:r>
        <w:rPr>
          <w:rFonts w:ascii="Garamond" w:hAnsi="Garamond" w:cs="Arial"/>
          <w:noProof/>
          <w:sz w:val="24"/>
          <w:szCs w:val="24"/>
        </w:rPr>
        <w:lastRenderedPageBreak/>
        <w:drawing>
          <wp:anchor distT="0" distB="0" distL="114300" distR="114300" simplePos="0" relativeHeight="251658240" behindDoc="1" locked="0" layoutInCell="0" allowOverlap="0" wp14:anchorId="7C804B16" wp14:editId="60CD7F94">
            <wp:simplePos x="0" y="0"/>
            <wp:positionH relativeFrom="margin">
              <wp:posOffset>3103245</wp:posOffset>
            </wp:positionH>
            <wp:positionV relativeFrom="margin">
              <wp:posOffset>1508760</wp:posOffset>
            </wp:positionV>
            <wp:extent cx="3108960" cy="20116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960" cy="201168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cs="Arial"/>
          <w:noProof/>
          <w:sz w:val="24"/>
          <w:szCs w:val="24"/>
        </w:rPr>
        <w:drawing>
          <wp:inline distT="0" distB="0" distL="0" distR="0" wp14:anchorId="1F8224E6" wp14:editId="5ECE5848">
            <wp:extent cx="3103568" cy="20097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2804" cy="2015756"/>
                    </a:xfrm>
                    <a:prstGeom prst="rect">
                      <a:avLst/>
                    </a:prstGeom>
                    <a:noFill/>
                  </pic:spPr>
                </pic:pic>
              </a:graphicData>
            </a:graphic>
          </wp:inline>
        </w:drawing>
      </w:r>
    </w:p>
    <w:p w:rsidR="005C5FA3" w:rsidRDefault="00A96AC8" w:rsidP="009506E8">
      <w:pPr>
        <w:widowControl w:val="0"/>
        <w:spacing w:after="0" w:line="240" w:lineRule="auto"/>
        <w:jc w:val="both"/>
        <w:rPr>
          <w:rFonts w:ascii="Garamond" w:hAnsi="Garamond" w:cs="Arial"/>
          <w:sz w:val="24"/>
          <w:szCs w:val="24"/>
        </w:rPr>
      </w:pPr>
      <w:r>
        <w:rPr>
          <w:rFonts w:ascii="Garamond" w:hAnsi="Garamond" w:cs="Arial"/>
          <w:noProof/>
          <w:sz w:val="24"/>
          <w:szCs w:val="24"/>
        </w:rPr>
        <w:drawing>
          <wp:anchor distT="0" distB="0" distL="114300" distR="114300" simplePos="0" relativeHeight="251659264" behindDoc="0" locked="0" layoutInCell="1" allowOverlap="1" wp14:anchorId="2D1D9BFF" wp14:editId="63F6574F">
            <wp:simplePos x="0" y="0"/>
            <wp:positionH relativeFrom="margin">
              <wp:posOffset>3063240</wp:posOffset>
            </wp:positionH>
            <wp:positionV relativeFrom="margin">
              <wp:posOffset>3434715</wp:posOffset>
            </wp:positionV>
            <wp:extent cx="3105150" cy="1905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0" cy="1905000"/>
                    </a:xfrm>
                    <a:prstGeom prst="rect">
                      <a:avLst/>
                    </a:prstGeom>
                    <a:noFill/>
                  </pic:spPr>
                </pic:pic>
              </a:graphicData>
            </a:graphic>
            <wp14:sizeRelH relativeFrom="margin">
              <wp14:pctWidth>0</wp14:pctWidth>
            </wp14:sizeRelH>
            <wp14:sizeRelV relativeFrom="margin">
              <wp14:pctHeight>0</wp14:pctHeight>
            </wp14:sizeRelV>
          </wp:anchor>
        </w:drawing>
      </w:r>
      <w:r>
        <w:rPr>
          <w:rFonts w:ascii="Garamond" w:hAnsi="Garamond" w:cs="Arial"/>
          <w:noProof/>
          <w:sz w:val="24"/>
          <w:szCs w:val="24"/>
        </w:rPr>
        <w:drawing>
          <wp:inline distT="0" distB="0" distL="0" distR="0" wp14:anchorId="69EFFEDC" wp14:editId="37113908">
            <wp:extent cx="3105150" cy="19123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2292" cy="1916733"/>
                    </a:xfrm>
                    <a:prstGeom prst="rect">
                      <a:avLst/>
                    </a:prstGeom>
                    <a:noFill/>
                  </pic:spPr>
                </pic:pic>
              </a:graphicData>
            </a:graphic>
          </wp:inline>
        </w:drawing>
      </w:r>
    </w:p>
    <w:p w:rsidR="005C5FA3" w:rsidRDefault="005C5FA3" w:rsidP="009506E8">
      <w:pPr>
        <w:widowControl w:val="0"/>
        <w:spacing w:after="0" w:line="240" w:lineRule="auto"/>
        <w:jc w:val="both"/>
        <w:rPr>
          <w:rFonts w:ascii="Garamond" w:hAnsi="Garamond" w:cs="Arial"/>
          <w:sz w:val="24"/>
          <w:szCs w:val="24"/>
        </w:rPr>
      </w:pPr>
    </w:p>
    <w:p w:rsidR="00A779EF" w:rsidRDefault="00A779EF" w:rsidP="009506E8">
      <w:pPr>
        <w:widowControl w:val="0"/>
        <w:spacing w:after="0" w:line="240" w:lineRule="auto"/>
        <w:jc w:val="both"/>
        <w:rPr>
          <w:rFonts w:ascii="Garamond" w:hAnsi="Garamond" w:cs="Arial"/>
          <w:sz w:val="24"/>
          <w:szCs w:val="24"/>
        </w:rPr>
      </w:pPr>
      <w:r w:rsidRPr="00A779EF">
        <w:rPr>
          <w:rFonts w:ascii="Garamond" w:hAnsi="Garamond" w:cs="Arial"/>
          <w:sz w:val="24"/>
          <w:szCs w:val="24"/>
        </w:rPr>
        <w:t>In 2011, Telecare partnered with four counties to provide mental health services to persons with serious mental illness under AB109 (Public Safety Realignment) Post Release Community Supervision. Telecare currently provides five AB109 programs serving over 250 consumers using ACT-level services, or using a structured psycho-educational approach coupled with cognitive behavioral therapy.</w:t>
      </w:r>
    </w:p>
    <w:p w:rsidR="009E47E2" w:rsidRPr="00A779EF" w:rsidRDefault="009E47E2" w:rsidP="009506E8">
      <w:pPr>
        <w:widowControl w:val="0"/>
        <w:spacing w:after="0" w:line="240" w:lineRule="auto"/>
        <w:jc w:val="both"/>
        <w:rPr>
          <w:rFonts w:ascii="Garamond" w:hAnsi="Garamond" w:cs="Arial"/>
          <w:sz w:val="24"/>
          <w:szCs w:val="24"/>
        </w:rPr>
      </w:pPr>
    </w:p>
    <w:p w:rsidR="00152C67" w:rsidRPr="00F64DD6" w:rsidRDefault="00152C67" w:rsidP="00152C67">
      <w:pPr>
        <w:rPr>
          <w:rFonts w:ascii="Garamond" w:hAnsi="Garamond" w:cs="Times New Roman"/>
          <w:sz w:val="24"/>
          <w:szCs w:val="24"/>
          <w:u w:val="single"/>
        </w:rPr>
      </w:pPr>
      <w:r w:rsidRPr="00F64DD6">
        <w:rPr>
          <w:rFonts w:ascii="Garamond" w:hAnsi="Garamond" w:cs="Times New Roman"/>
          <w:sz w:val="24"/>
          <w:szCs w:val="24"/>
          <w:u w:val="single"/>
        </w:rPr>
        <w:t>Recovery-Centered Mental Health Services and Criminogenic Needs</w:t>
      </w:r>
    </w:p>
    <w:p w:rsidR="00F64DD6" w:rsidRPr="00F64DD6" w:rsidRDefault="00F64DD6" w:rsidP="00F64DD6">
      <w:pPr>
        <w:spacing w:after="0" w:line="288" w:lineRule="auto"/>
        <w:rPr>
          <w:rFonts w:ascii="Garamond" w:eastAsia="Times New Roman" w:hAnsi="Garamond" w:cs="Times New Roman"/>
          <w:sz w:val="24"/>
          <w:szCs w:val="24"/>
        </w:rPr>
      </w:pPr>
      <w:r>
        <w:rPr>
          <w:rFonts w:ascii="Garamond" w:eastAsia="Times New Roman" w:hAnsi="Garamond" w:cs="Times New Roman"/>
          <w:sz w:val="24"/>
          <w:szCs w:val="24"/>
        </w:rPr>
        <w:t xml:space="preserve">The criminal justice system and mental health service providers </w:t>
      </w:r>
      <w:r w:rsidRPr="00F64DD6">
        <w:rPr>
          <w:rFonts w:ascii="Garamond" w:eastAsia="Times New Roman" w:hAnsi="Garamond" w:cs="Times New Roman"/>
          <w:sz w:val="24"/>
          <w:szCs w:val="24"/>
        </w:rPr>
        <w:t xml:space="preserve">share the common goal of creating safer communities. For offenders with mental illness, reducing re-offense goes beyond providing clinical services to alleviate psychiatric symptoms – it </w:t>
      </w:r>
      <w:r w:rsidR="00CB0B05">
        <w:rPr>
          <w:rFonts w:ascii="Garamond" w:eastAsia="Times New Roman" w:hAnsi="Garamond" w:cs="Times New Roman"/>
          <w:sz w:val="24"/>
          <w:szCs w:val="24"/>
        </w:rPr>
        <w:t xml:space="preserve">also </w:t>
      </w:r>
      <w:r w:rsidRPr="00F64DD6">
        <w:rPr>
          <w:rFonts w:ascii="Garamond" w:eastAsia="Times New Roman" w:hAnsi="Garamond" w:cs="Times New Roman"/>
          <w:sz w:val="24"/>
          <w:szCs w:val="24"/>
        </w:rPr>
        <w:t>means addressing the specific risk factors that increase the likelihood of recidivism. These risk factors – antisocial values/attitudes/peers, problematic family circumstances, impulsive behavior, among others – have been shown to predict recidivism regardless of mental health status.</w:t>
      </w:r>
      <w:r w:rsidRPr="00F64DD6">
        <w:rPr>
          <w:rFonts w:ascii="Garamond" w:eastAsia="Times New Roman" w:hAnsi="Garamond" w:cs="Times New Roman"/>
          <w:sz w:val="24"/>
          <w:szCs w:val="24"/>
          <w:vertAlign w:val="superscript"/>
        </w:rPr>
        <w:footnoteReference w:id="1"/>
      </w:r>
      <w:r w:rsidRPr="00F64DD6">
        <w:rPr>
          <w:rFonts w:ascii="Garamond" w:eastAsia="Times New Roman" w:hAnsi="Garamond" w:cs="Times New Roman"/>
          <w:sz w:val="24"/>
          <w:szCs w:val="24"/>
        </w:rPr>
        <w:t xml:space="preserve"> In recent years the field of community justice has produced several evidence-based models that use cognitive behavioral interventions to address these “criminogenic needs.”</w:t>
      </w:r>
    </w:p>
    <w:p w:rsidR="00F64DD6" w:rsidRPr="00F64DD6" w:rsidRDefault="00F64DD6" w:rsidP="00F64DD6">
      <w:pPr>
        <w:spacing w:after="0" w:line="288" w:lineRule="auto"/>
        <w:rPr>
          <w:rFonts w:ascii="Garamond" w:eastAsia="Times New Roman" w:hAnsi="Garamond" w:cs="Times New Roman"/>
          <w:sz w:val="24"/>
          <w:szCs w:val="24"/>
        </w:rPr>
      </w:pPr>
    </w:p>
    <w:p w:rsidR="009E47E2" w:rsidRDefault="009E47E2" w:rsidP="00F64DD6">
      <w:pPr>
        <w:spacing w:after="0" w:line="288" w:lineRule="auto"/>
        <w:rPr>
          <w:rFonts w:ascii="Garamond" w:eastAsia="Times New Roman" w:hAnsi="Garamond" w:cs="Times New Roman"/>
          <w:sz w:val="24"/>
          <w:szCs w:val="24"/>
        </w:rPr>
      </w:pPr>
    </w:p>
    <w:p w:rsidR="00F64DD6" w:rsidRPr="00F64DD6" w:rsidRDefault="00243C64" w:rsidP="00F64DD6">
      <w:pPr>
        <w:spacing w:after="0" w:line="288" w:lineRule="auto"/>
        <w:rPr>
          <w:rFonts w:ascii="Garamond" w:eastAsia="Times New Roman" w:hAnsi="Garamond" w:cs="Times New Roman"/>
          <w:sz w:val="24"/>
          <w:szCs w:val="24"/>
        </w:rPr>
      </w:pPr>
      <w:r w:rsidRPr="00243C64">
        <w:rPr>
          <w:rFonts w:ascii="Garamond" w:eastAsia="Times New Roman" w:hAnsi="Garamond" w:cs="Times New Roman"/>
          <w:sz w:val="24"/>
          <w:szCs w:val="24"/>
        </w:rPr>
        <w:t>At Telecare, we continue to refine our approach to forensic mental health services by reviewing our experiences in the field and securing add</w:t>
      </w:r>
      <w:r>
        <w:rPr>
          <w:rFonts w:ascii="Garamond" w:eastAsia="Times New Roman" w:hAnsi="Garamond" w:cs="Times New Roman"/>
          <w:sz w:val="24"/>
          <w:szCs w:val="24"/>
        </w:rPr>
        <w:t xml:space="preserve">itional expertise and training to ensure our </w:t>
      </w:r>
      <w:r w:rsidRPr="00243C64">
        <w:rPr>
          <w:rFonts w:ascii="Garamond" w:eastAsia="Times New Roman" w:hAnsi="Garamond" w:cs="Times New Roman"/>
          <w:sz w:val="24"/>
          <w:szCs w:val="24"/>
        </w:rPr>
        <w:t>programs reflect a combined emphasis on recovery-</w:t>
      </w:r>
      <w:r>
        <w:rPr>
          <w:rFonts w:ascii="Garamond" w:eastAsia="Times New Roman" w:hAnsi="Garamond" w:cs="Times New Roman"/>
          <w:sz w:val="24"/>
          <w:szCs w:val="24"/>
        </w:rPr>
        <w:t>centered</w:t>
      </w:r>
      <w:r w:rsidRPr="00243C64">
        <w:rPr>
          <w:rFonts w:ascii="Garamond" w:eastAsia="Times New Roman" w:hAnsi="Garamond" w:cs="Times New Roman"/>
          <w:sz w:val="24"/>
          <w:szCs w:val="24"/>
        </w:rPr>
        <w:t xml:space="preserve"> mental health treatment and community justice evidence-based practices shown to address criminogenic needs and reduce recidivism.  </w:t>
      </w:r>
      <w:r w:rsidR="00F64DD6" w:rsidRPr="00F64DD6">
        <w:rPr>
          <w:rFonts w:ascii="Garamond" w:eastAsia="Times New Roman" w:hAnsi="Garamond" w:cs="Times New Roman"/>
          <w:sz w:val="24"/>
          <w:szCs w:val="24"/>
        </w:rPr>
        <w:t xml:space="preserve">   </w:t>
      </w:r>
    </w:p>
    <w:p w:rsidR="00F64DD6" w:rsidRPr="00F64DD6" w:rsidRDefault="00F64DD6" w:rsidP="00F64DD6">
      <w:pPr>
        <w:spacing w:after="0" w:line="288" w:lineRule="auto"/>
        <w:rPr>
          <w:rFonts w:ascii="Garamond" w:eastAsia="Times New Roman" w:hAnsi="Garamond" w:cs="Times New Roman"/>
          <w:sz w:val="24"/>
          <w:szCs w:val="24"/>
        </w:rPr>
      </w:pPr>
    </w:p>
    <w:p w:rsidR="00152C67" w:rsidRPr="001166A8" w:rsidRDefault="00243C64" w:rsidP="00152C67">
      <w:pPr>
        <w:rPr>
          <w:rFonts w:ascii="Garamond" w:hAnsi="Garamond" w:cs="Times New Roman"/>
          <w:sz w:val="24"/>
          <w:szCs w:val="24"/>
          <w:u w:val="single"/>
        </w:rPr>
      </w:pPr>
      <w:r>
        <w:rPr>
          <w:rFonts w:ascii="Garamond" w:hAnsi="Garamond" w:cs="Times New Roman"/>
          <w:sz w:val="24"/>
          <w:szCs w:val="24"/>
          <w:u w:val="single"/>
        </w:rPr>
        <w:t xml:space="preserve">ISMIP </w:t>
      </w:r>
      <w:r w:rsidR="00152C67" w:rsidRPr="001166A8">
        <w:rPr>
          <w:rFonts w:ascii="Garamond" w:hAnsi="Garamond" w:cs="Times New Roman"/>
          <w:sz w:val="24"/>
          <w:szCs w:val="24"/>
          <w:u w:val="single"/>
        </w:rPr>
        <w:t>Challenges and Lessons Learned</w:t>
      </w:r>
    </w:p>
    <w:p w:rsidR="00602BD8" w:rsidRPr="00243C64" w:rsidRDefault="00707A2C" w:rsidP="00243C64">
      <w:pPr>
        <w:numPr>
          <w:ilvl w:val="0"/>
          <w:numId w:val="5"/>
        </w:numPr>
        <w:tabs>
          <w:tab w:val="clear" w:pos="720"/>
          <w:tab w:val="num" w:pos="360"/>
        </w:tabs>
        <w:ind w:left="360"/>
        <w:rPr>
          <w:rFonts w:ascii="Garamond" w:hAnsi="Garamond" w:cs="Times New Roman"/>
          <w:sz w:val="24"/>
          <w:szCs w:val="24"/>
        </w:rPr>
      </w:pPr>
      <w:r w:rsidRPr="00243C64">
        <w:rPr>
          <w:rFonts w:ascii="Garamond" w:hAnsi="Garamond" w:cs="Times New Roman"/>
          <w:sz w:val="24"/>
          <w:szCs w:val="24"/>
        </w:rPr>
        <w:t>Identifying eligible parolee</w:t>
      </w:r>
    </w:p>
    <w:p w:rsidR="00602BD8" w:rsidRPr="00243C64" w:rsidRDefault="00707A2C" w:rsidP="00243C64">
      <w:pPr>
        <w:numPr>
          <w:ilvl w:val="0"/>
          <w:numId w:val="5"/>
        </w:numPr>
        <w:ind w:left="360"/>
        <w:rPr>
          <w:rFonts w:ascii="Garamond" w:hAnsi="Garamond" w:cs="Times New Roman"/>
          <w:sz w:val="24"/>
          <w:szCs w:val="24"/>
        </w:rPr>
      </w:pPr>
      <w:r w:rsidRPr="00243C64">
        <w:rPr>
          <w:rFonts w:ascii="Garamond" w:hAnsi="Garamond" w:cs="Times New Roman"/>
          <w:sz w:val="24"/>
          <w:szCs w:val="24"/>
        </w:rPr>
        <w:t>Medi-Cal and SSI benefits</w:t>
      </w:r>
    </w:p>
    <w:p w:rsidR="00602BD8" w:rsidRPr="00243C64" w:rsidRDefault="00707A2C" w:rsidP="00243C64">
      <w:pPr>
        <w:numPr>
          <w:ilvl w:val="0"/>
          <w:numId w:val="5"/>
        </w:numPr>
        <w:ind w:left="360"/>
        <w:rPr>
          <w:rFonts w:ascii="Garamond" w:hAnsi="Garamond" w:cs="Times New Roman"/>
          <w:sz w:val="24"/>
          <w:szCs w:val="24"/>
        </w:rPr>
      </w:pPr>
      <w:r w:rsidRPr="00243C64">
        <w:rPr>
          <w:rFonts w:ascii="Garamond" w:hAnsi="Garamond" w:cs="Times New Roman"/>
          <w:sz w:val="24"/>
          <w:szCs w:val="24"/>
        </w:rPr>
        <w:t>Housing Options / Homelessness</w:t>
      </w:r>
    </w:p>
    <w:p w:rsidR="00602BD8" w:rsidRPr="00243C64" w:rsidRDefault="00707A2C" w:rsidP="00243C64">
      <w:pPr>
        <w:numPr>
          <w:ilvl w:val="0"/>
          <w:numId w:val="5"/>
        </w:numPr>
        <w:ind w:left="360"/>
        <w:rPr>
          <w:rFonts w:ascii="Garamond" w:hAnsi="Garamond" w:cs="Times New Roman"/>
          <w:sz w:val="24"/>
          <w:szCs w:val="24"/>
        </w:rPr>
      </w:pPr>
      <w:r w:rsidRPr="00243C64">
        <w:rPr>
          <w:rFonts w:ascii="Garamond" w:hAnsi="Garamond" w:cs="Times New Roman"/>
          <w:sz w:val="24"/>
          <w:szCs w:val="24"/>
        </w:rPr>
        <w:t xml:space="preserve">Access to Health Care </w:t>
      </w:r>
    </w:p>
    <w:p w:rsidR="00602BD8" w:rsidRPr="00243C64" w:rsidRDefault="00707A2C" w:rsidP="00243C64">
      <w:pPr>
        <w:numPr>
          <w:ilvl w:val="0"/>
          <w:numId w:val="5"/>
        </w:numPr>
        <w:ind w:left="360"/>
        <w:rPr>
          <w:rFonts w:ascii="Garamond" w:hAnsi="Garamond" w:cs="Times New Roman"/>
          <w:sz w:val="24"/>
          <w:szCs w:val="24"/>
        </w:rPr>
      </w:pPr>
      <w:r w:rsidRPr="00243C64">
        <w:rPr>
          <w:rFonts w:ascii="Garamond" w:hAnsi="Garamond" w:cs="Times New Roman"/>
          <w:sz w:val="24"/>
          <w:szCs w:val="24"/>
        </w:rPr>
        <w:t>Access to Medications</w:t>
      </w:r>
    </w:p>
    <w:p w:rsidR="00602BD8" w:rsidRPr="00243C64" w:rsidRDefault="00707A2C" w:rsidP="00243C64">
      <w:pPr>
        <w:numPr>
          <w:ilvl w:val="0"/>
          <w:numId w:val="5"/>
        </w:numPr>
        <w:ind w:left="360"/>
        <w:rPr>
          <w:rFonts w:ascii="Garamond" w:hAnsi="Garamond" w:cs="Times New Roman"/>
          <w:sz w:val="24"/>
          <w:szCs w:val="24"/>
        </w:rPr>
      </w:pPr>
      <w:r w:rsidRPr="00243C64">
        <w:rPr>
          <w:rFonts w:ascii="Garamond" w:hAnsi="Garamond" w:cs="Times New Roman"/>
          <w:sz w:val="24"/>
          <w:szCs w:val="24"/>
        </w:rPr>
        <w:t>Need for pre-employment and vocational services</w:t>
      </w:r>
    </w:p>
    <w:p w:rsidR="00602BD8" w:rsidRDefault="00707A2C" w:rsidP="00243C64">
      <w:pPr>
        <w:pStyle w:val="ListParagraph"/>
        <w:numPr>
          <w:ilvl w:val="0"/>
          <w:numId w:val="5"/>
        </w:numPr>
        <w:tabs>
          <w:tab w:val="clear" w:pos="720"/>
        </w:tabs>
        <w:ind w:left="360"/>
        <w:rPr>
          <w:rFonts w:ascii="Garamond" w:hAnsi="Garamond" w:cs="Times New Roman"/>
          <w:sz w:val="24"/>
          <w:szCs w:val="24"/>
        </w:rPr>
      </w:pPr>
      <w:r w:rsidRPr="00243C64">
        <w:rPr>
          <w:rFonts w:ascii="Garamond" w:hAnsi="Garamond" w:cs="Times New Roman"/>
          <w:sz w:val="24"/>
          <w:szCs w:val="24"/>
        </w:rPr>
        <w:t>High levels of co-occurring substance abuse</w:t>
      </w:r>
    </w:p>
    <w:p w:rsidR="00243C64" w:rsidRPr="00243C64" w:rsidRDefault="00243C64" w:rsidP="00243C64">
      <w:pPr>
        <w:pStyle w:val="ListParagraph"/>
        <w:ind w:left="360"/>
        <w:rPr>
          <w:rFonts w:ascii="Garamond" w:hAnsi="Garamond" w:cs="Times New Roman"/>
          <w:sz w:val="24"/>
          <w:szCs w:val="24"/>
        </w:rPr>
      </w:pPr>
    </w:p>
    <w:p w:rsidR="00602BD8" w:rsidRPr="00243C64" w:rsidRDefault="00707A2C" w:rsidP="00243C64">
      <w:pPr>
        <w:pStyle w:val="ListParagraph"/>
        <w:numPr>
          <w:ilvl w:val="0"/>
          <w:numId w:val="5"/>
        </w:numPr>
        <w:tabs>
          <w:tab w:val="clear" w:pos="720"/>
        </w:tabs>
        <w:ind w:left="360"/>
        <w:rPr>
          <w:rFonts w:ascii="Garamond" w:hAnsi="Garamond" w:cs="Times New Roman"/>
          <w:sz w:val="24"/>
          <w:szCs w:val="24"/>
        </w:rPr>
      </w:pPr>
      <w:r w:rsidRPr="00243C64">
        <w:rPr>
          <w:rFonts w:ascii="Garamond" w:hAnsi="Garamond" w:cs="Times New Roman"/>
          <w:sz w:val="24"/>
          <w:szCs w:val="24"/>
        </w:rPr>
        <w:t xml:space="preserve">Lack of access to Specialty Mental Health Funding </w:t>
      </w:r>
    </w:p>
    <w:p w:rsidR="00152C67" w:rsidRPr="001166A8" w:rsidRDefault="00152C67" w:rsidP="00152C67">
      <w:pPr>
        <w:rPr>
          <w:rFonts w:ascii="Garamond" w:hAnsi="Garamond" w:cs="Times New Roman"/>
          <w:sz w:val="24"/>
          <w:szCs w:val="24"/>
          <w:u w:val="single"/>
        </w:rPr>
      </w:pPr>
      <w:r w:rsidRPr="001166A8">
        <w:rPr>
          <w:rFonts w:ascii="Garamond" w:hAnsi="Garamond" w:cs="Times New Roman"/>
          <w:sz w:val="24"/>
          <w:szCs w:val="24"/>
          <w:u w:val="single"/>
        </w:rPr>
        <w:t>Recommendations</w:t>
      </w:r>
    </w:p>
    <w:p w:rsidR="00602BD8" w:rsidRPr="001166A8" w:rsidRDefault="00707A2C" w:rsidP="009E47E2">
      <w:pPr>
        <w:numPr>
          <w:ilvl w:val="0"/>
          <w:numId w:val="1"/>
        </w:numPr>
        <w:tabs>
          <w:tab w:val="clear" w:pos="360"/>
          <w:tab w:val="num" w:pos="720"/>
        </w:tabs>
        <w:spacing w:line="240" w:lineRule="auto"/>
        <w:ind w:left="0" w:firstLine="0"/>
        <w:rPr>
          <w:rFonts w:ascii="Garamond" w:hAnsi="Garamond"/>
          <w:sz w:val="24"/>
          <w:szCs w:val="24"/>
        </w:rPr>
      </w:pPr>
      <w:r w:rsidRPr="001166A8">
        <w:rPr>
          <w:rFonts w:ascii="Garamond" w:hAnsi="Garamond"/>
          <w:sz w:val="24"/>
          <w:szCs w:val="24"/>
        </w:rPr>
        <w:t>Allow CDCR to contract with C</w:t>
      </w:r>
      <w:r w:rsidR="001166A8">
        <w:rPr>
          <w:rFonts w:ascii="Garamond" w:hAnsi="Garamond"/>
          <w:sz w:val="24"/>
          <w:szCs w:val="24"/>
        </w:rPr>
        <w:t>al</w:t>
      </w:r>
      <w:r w:rsidRPr="001166A8">
        <w:rPr>
          <w:rFonts w:ascii="Garamond" w:hAnsi="Garamond"/>
          <w:sz w:val="24"/>
          <w:szCs w:val="24"/>
        </w:rPr>
        <w:t>MHSA as a Specialty Mental Health Provider for ISMIP services or via the Counties</w:t>
      </w:r>
    </w:p>
    <w:p w:rsidR="00602BD8" w:rsidRPr="001166A8" w:rsidRDefault="00707A2C" w:rsidP="009E47E2">
      <w:pPr>
        <w:pStyle w:val="ListParagraph"/>
        <w:numPr>
          <w:ilvl w:val="0"/>
          <w:numId w:val="2"/>
        </w:numPr>
        <w:spacing w:line="240" w:lineRule="auto"/>
        <w:rPr>
          <w:rFonts w:ascii="Garamond" w:hAnsi="Garamond"/>
          <w:sz w:val="24"/>
          <w:szCs w:val="24"/>
        </w:rPr>
      </w:pPr>
      <w:r w:rsidRPr="001166A8">
        <w:rPr>
          <w:rFonts w:ascii="Garamond" w:hAnsi="Garamond"/>
          <w:sz w:val="24"/>
          <w:szCs w:val="24"/>
        </w:rPr>
        <w:t>It is estimated 30% -40% current cost of services for Medi-Cal eligible consumers could be funded via FFP</w:t>
      </w:r>
    </w:p>
    <w:p w:rsidR="00602BD8" w:rsidRDefault="00707A2C" w:rsidP="009E47E2">
      <w:pPr>
        <w:pStyle w:val="ListParagraph"/>
        <w:numPr>
          <w:ilvl w:val="0"/>
          <w:numId w:val="2"/>
        </w:numPr>
        <w:spacing w:line="240" w:lineRule="auto"/>
        <w:rPr>
          <w:rFonts w:ascii="Garamond" w:hAnsi="Garamond"/>
          <w:sz w:val="24"/>
          <w:szCs w:val="24"/>
        </w:rPr>
      </w:pPr>
      <w:r w:rsidRPr="001166A8">
        <w:rPr>
          <w:rFonts w:ascii="Garamond" w:hAnsi="Garamond"/>
          <w:sz w:val="24"/>
          <w:szCs w:val="24"/>
        </w:rPr>
        <w:t xml:space="preserve">With proposed expansion of ISMIP from its current 400 to 5,000 members </w:t>
      </w:r>
      <w:r w:rsidR="00E74F80">
        <w:rPr>
          <w:rFonts w:ascii="Garamond" w:hAnsi="Garamond"/>
          <w:sz w:val="24"/>
          <w:szCs w:val="24"/>
        </w:rPr>
        <w:t xml:space="preserve">combined with expanded Medi-Cal eligibility under the Affordable Care Act </w:t>
      </w:r>
      <w:r w:rsidRPr="001166A8">
        <w:rPr>
          <w:rFonts w:ascii="Garamond" w:hAnsi="Garamond"/>
          <w:sz w:val="24"/>
          <w:szCs w:val="24"/>
        </w:rPr>
        <w:t xml:space="preserve">could </w:t>
      </w:r>
      <w:r w:rsidR="00E74F80">
        <w:rPr>
          <w:rFonts w:ascii="Garamond" w:hAnsi="Garamond"/>
          <w:sz w:val="24"/>
          <w:szCs w:val="24"/>
        </w:rPr>
        <w:t xml:space="preserve">result in saving </w:t>
      </w:r>
      <w:r w:rsidRPr="001166A8">
        <w:rPr>
          <w:rFonts w:ascii="Garamond" w:hAnsi="Garamond"/>
          <w:sz w:val="24"/>
          <w:szCs w:val="24"/>
        </w:rPr>
        <w:t>millions of State General Fund dollars</w:t>
      </w:r>
      <w:r w:rsidR="00E74F80">
        <w:rPr>
          <w:rFonts w:ascii="Garamond" w:hAnsi="Garamond"/>
          <w:sz w:val="24"/>
          <w:szCs w:val="24"/>
        </w:rPr>
        <w:t xml:space="preserve"> each year. </w:t>
      </w:r>
    </w:p>
    <w:p w:rsidR="009E47E2" w:rsidRPr="009E47E2" w:rsidRDefault="009E47E2" w:rsidP="009E47E2">
      <w:pPr>
        <w:spacing w:line="240" w:lineRule="auto"/>
        <w:ind w:left="360"/>
        <w:rPr>
          <w:rFonts w:ascii="Garamond" w:hAnsi="Garamond"/>
          <w:sz w:val="24"/>
          <w:szCs w:val="24"/>
        </w:rPr>
      </w:pPr>
    </w:p>
    <w:p w:rsidR="001166A8" w:rsidRDefault="001166A8" w:rsidP="001166A8">
      <w:pPr>
        <w:pStyle w:val="ListParagraph"/>
        <w:numPr>
          <w:ilvl w:val="0"/>
          <w:numId w:val="1"/>
        </w:numPr>
        <w:rPr>
          <w:rFonts w:ascii="Garamond" w:hAnsi="Garamond"/>
          <w:sz w:val="24"/>
          <w:szCs w:val="24"/>
        </w:rPr>
      </w:pPr>
      <w:r w:rsidRPr="001166A8">
        <w:rPr>
          <w:rFonts w:ascii="Garamond" w:hAnsi="Garamond"/>
          <w:sz w:val="24"/>
          <w:szCs w:val="24"/>
        </w:rPr>
        <w:t xml:space="preserve">Allow smaller specialized </w:t>
      </w:r>
      <w:r w:rsidR="00CB0B05">
        <w:rPr>
          <w:rFonts w:ascii="Garamond" w:hAnsi="Garamond"/>
          <w:sz w:val="24"/>
          <w:szCs w:val="24"/>
        </w:rPr>
        <w:t xml:space="preserve">parolee </w:t>
      </w:r>
      <w:r w:rsidRPr="001166A8">
        <w:rPr>
          <w:rFonts w:ascii="Garamond" w:hAnsi="Garamond"/>
          <w:sz w:val="24"/>
          <w:szCs w:val="24"/>
        </w:rPr>
        <w:t>caseloads for consumers with serious mental illness.</w:t>
      </w:r>
    </w:p>
    <w:p w:rsidR="001166A8" w:rsidRDefault="00243C64" w:rsidP="001166A8">
      <w:pPr>
        <w:pStyle w:val="ListParagraph"/>
        <w:ind w:left="360"/>
        <w:rPr>
          <w:rFonts w:ascii="Garamond" w:hAnsi="Garamond"/>
          <w:sz w:val="24"/>
          <w:szCs w:val="24"/>
        </w:rPr>
      </w:pPr>
      <w:r w:rsidRPr="00243C64">
        <w:rPr>
          <w:rFonts w:ascii="Garamond" w:hAnsi="Garamond"/>
          <w:sz w:val="24"/>
          <w:szCs w:val="24"/>
        </w:rPr>
        <w:t xml:space="preserve">Research supports the need for collaboration between those providing supervision and those providing mental health treatment.  Such partnerships can include specialized caseloads, problem-solving case conferences, cross-training opportunities, and active participation by </w:t>
      </w:r>
      <w:r>
        <w:rPr>
          <w:rFonts w:ascii="Garamond" w:hAnsi="Garamond"/>
          <w:sz w:val="24"/>
          <w:szCs w:val="24"/>
        </w:rPr>
        <w:t xml:space="preserve">parole </w:t>
      </w:r>
      <w:r w:rsidRPr="00243C64">
        <w:rPr>
          <w:rFonts w:ascii="Garamond" w:hAnsi="Garamond"/>
          <w:sz w:val="24"/>
          <w:szCs w:val="24"/>
        </w:rPr>
        <w:t xml:space="preserve">officers on mental health treatment teams.  In models such as Mental Health Court and Forensic Assertive Community Treatment (FACT), the legal system works closely together with treatment professionals while also leveraging other resources important to successful re-entry (housing, vocational services, benefits assistance) using a strong case management orientation.  </w:t>
      </w:r>
    </w:p>
    <w:p w:rsidR="009E47E2" w:rsidRDefault="009E47E2" w:rsidP="001166A8">
      <w:pPr>
        <w:pStyle w:val="ListParagraph"/>
        <w:ind w:left="360"/>
        <w:rPr>
          <w:rFonts w:ascii="Garamond" w:hAnsi="Garamond"/>
          <w:sz w:val="24"/>
          <w:szCs w:val="24"/>
        </w:rPr>
      </w:pPr>
    </w:p>
    <w:p w:rsidR="009E47E2" w:rsidRDefault="009E47E2" w:rsidP="001166A8">
      <w:pPr>
        <w:pStyle w:val="ListParagraph"/>
        <w:ind w:left="360"/>
        <w:rPr>
          <w:rFonts w:ascii="Garamond" w:hAnsi="Garamond"/>
          <w:sz w:val="24"/>
          <w:szCs w:val="24"/>
        </w:rPr>
      </w:pPr>
    </w:p>
    <w:p w:rsidR="00243C64" w:rsidRPr="001166A8" w:rsidRDefault="00243C64" w:rsidP="001166A8">
      <w:pPr>
        <w:pStyle w:val="ListParagraph"/>
        <w:ind w:left="360"/>
        <w:rPr>
          <w:rFonts w:ascii="Garamond" w:hAnsi="Garamond"/>
          <w:sz w:val="24"/>
          <w:szCs w:val="24"/>
        </w:rPr>
      </w:pPr>
    </w:p>
    <w:p w:rsidR="001166A8" w:rsidRDefault="001166A8" w:rsidP="001166A8">
      <w:pPr>
        <w:pStyle w:val="ListParagraph"/>
        <w:numPr>
          <w:ilvl w:val="0"/>
          <w:numId w:val="1"/>
        </w:numPr>
        <w:rPr>
          <w:rFonts w:ascii="Garamond" w:hAnsi="Garamond"/>
          <w:sz w:val="24"/>
          <w:szCs w:val="24"/>
        </w:rPr>
      </w:pPr>
      <w:r w:rsidRPr="001166A8">
        <w:rPr>
          <w:rFonts w:ascii="Garamond" w:hAnsi="Garamond"/>
          <w:sz w:val="24"/>
          <w:szCs w:val="24"/>
        </w:rPr>
        <w:t xml:space="preserve">Begin </w:t>
      </w:r>
      <w:r w:rsidR="00CB0B05">
        <w:rPr>
          <w:rFonts w:ascii="Garamond" w:hAnsi="Garamond"/>
          <w:sz w:val="24"/>
          <w:szCs w:val="24"/>
        </w:rPr>
        <w:t>the b</w:t>
      </w:r>
      <w:r w:rsidRPr="001166A8">
        <w:rPr>
          <w:rFonts w:ascii="Garamond" w:hAnsi="Garamond"/>
          <w:sz w:val="24"/>
          <w:szCs w:val="24"/>
        </w:rPr>
        <w:t xml:space="preserve">enefit </w:t>
      </w:r>
      <w:r w:rsidR="00CB0B05">
        <w:rPr>
          <w:rFonts w:ascii="Garamond" w:hAnsi="Garamond"/>
          <w:sz w:val="24"/>
          <w:szCs w:val="24"/>
        </w:rPr>
        <w:t>a</w:t>
      </w:r>
      <w:r w:rsidRPr="001166A8">
        <w:rPr>
          <w:rFonts w:ascii="Garamond" w:hAnsi="Garamond"/>
          <w:sz w:val="24"/>
          <w:szCs w:val="24"/>
        </w:rPr>
        <w:t>pplication process as soon as allowable while persons are still in Prison.</w:t>
      </w:r>
    </w:p>
    <w:p w:rsidR="001166A8" w:rsidRPr="001166A8" w:rsidRDefault="001166A8" w:rsidP="001166A8">
      <w:pPr>
        <w:pStyle w:val="ListParagraph"/>
        <w:ind w:left="360"/>
        <w:rPr>
          <w:rFonts w:ascii="Garamond" w:hAnsi="Garamond"/>
          <w:sz w:val="24"/>
          <w:szCs w:val="24"/>
        </w:rPr>
      </w:pPr>
      <w:r w:rsidRPr="001166A8">
        <w:rPr>
          <w:rFonts w:ascii="Garamond" w:hAnsi="Garamond"/>
          <w:sz w:val="24"/>
          <w:szCs w:val="24"/>
        </w:rPr>
        <w:t xml:space="preserve">  </w:t>
      </w:r>
    </w:p>
    <w:p w:rsidR="00152C67" w:rsidRDefault="001166A8" w:rsidP="001166A8">
      <w:pPr>
        <w:pStyle w:val="ListParagraph"/>
        <w:numPr>
          <w:ilvl w:val="0"/>
          <w:numId w:val="1"/>
        </w:numPr>
        <w:rPr>
          <w:rFonts w:ascii="Garamond" w:hAnsi="Garamond"/>
          <w:sz w:val="24"/>
          <w:szCs w:val="24"/>
        </w:rPr>
      </w:pPr>
      <w:r w:rsidRPr="001166A8">
        <w:rPr>
          <w:rFonts w:ascii="Garamond" w:hAnsi="Garamond"/>
          <w:sz w:val="24"/>
          <w:szCs w:val="24"/>
        </w:rPr>
        <w:t xml:space="preserve">Where “injectables” are clinically indicated begin process while still in Prison.  </w:t>
      </w:r>
    </w:p>
    <w:p w:rsidR="001166A8" w:rsidRPr="001166A8" w:rsidRDefault="001166A8" w:rsidP="001166A8">
      <w:pPr>
        <w:pStyle w:val="ListParagraph"/>
        <w:ind w:left="360"/>
        <w:rPr>
          <w:rFonts w:ascii="Garamond" w:hAnsi="Garamond"/>
          <w:sz w:val="24"/>
          <w:szCs w:val="24"/>
        </w:rPr>
      </w:pPr>
    </w:p>
    <w:p w:rsidR="001166A8" w:rsidRPr="001166A8" w:rsidRDefault="001166A8" w:rsidP="001166A8">
      <w:pPr>
        <w:pStyle w:val="ListParagraph"/>
        <w:numPr>
          <w:ilvl w:val="0"/>
          <w:numId w:val="1"/>
        </w:numPr>
        <w:rPr>
          <w:rFonts w:ascii="Garamond" w:hAnsi="Garamond"/>
          <w:sz w:val="24"/>
          <w:szCs w:val="24"/>
        </w:rPr>
      </w:pPr>
      <w:r w:rsidRPr="001166A8">
        <w:rPr>
          <w:rFonts w:ascii="Garamond" w:hAnsi="Garamond"/>
          <w:sz w:val="24"/>
          <w:szCs w:val="24"/>
        </w:rPr>
        <w:t>Promote Evidence-Based Practices and Programs</w:t>
      </w:r>
      <w:r>
        <w:rPr>
          <w:rStyle w:val="FootnoteReference"/>
          <w:rFonts w:ascii="Garamond" w:hAnsi="Garamond"/>
          <w:sz w:val="24"/>
          <w:szCs w:val="24"/>
        </w:rPr>
        <w:footnoteReference w:id="2"/>
      </w:r>
      <w:r w:rsidRPr="001166A8">
        <w:rPr>
          <w:rFonts w:ascii="Garamond" w:hAnsi="Garamond"/>
          <w:sz w:val="24"/>
          <w:szCs w:val="24"/>
        </w:rPr>
        <w:t xml:space="preserve">    </w:t>
      </w:r>
    </w:p>
    <w:p w:rsidR="00602BD8" w:rsidRPr="001166A8" w:rsidRDefault="00707A2C" w:rsidP="001166A8">
      <w:pPr>
        <w:pStyle w:val="ListParagraph"/>
        <w:numPr>
          <w:ilvl w:val="0"/>
          <w:numId w:val="4"/>
        </w:numPr>
        <w:rPr>
          <w:rFonts w:ascii="Garamond" w:hAnsi="Garamond"/>
          <w:sz w:val="24"/>
          <w:szCs w:val="24"/>
        </w:rPr>
      </w:pPr>
      <w:r w:rsidRPr="001166A8">
        <w:rPr>
          <w:rFonts w:ascii="Garamond" w:hAnsi="Garamond"/>
          <w:sz w:val="24"/>
          <w:szCs w:val="24"/>
        </w:rPr>
        <w:t>Assertive Community Treatment</w:t>
      </w:r>
    </w:p>
    <w:p w:rsidR="00602BD8" w:rsidRPr="001166A8" w:rsidRDefault="00707A2C" w:rsidP="001166A8">
      <w:pPr>
        <w:pStyle w:val="ListParagraph"/>
        <w:numPr>
          <w:ilvl w:val="0"/>
          <w:numId w:val="4"/>
        </w:numPr>
        <w:rPr>
          <w:rFonts w:ascii="Garamond" w:hAnsi="Garamond"/>
          <w:sz w:val="24"/>
          <w:szCs w:val="24"/>
        </w:rPr>
      </w:pPr>
      <w:r w:rsidRPr="001166A8">
        <w:rPr>
          <w:rFonts w:ascii="Garamond" w:hAnsi="Garamond"/>
          <w:sz w:val="24"/>
          <w:szCs w:val="24"/>
        </w:rPr>
        <w:t>Integrated Mental Health and Substance Abuse</w:t>
      </w:r>
    </w:p>
    <w:p w:rsidR="00602BD8" w:rsidRPr="001166A8" w:rsidRDefault="00707A2C" w:rsidP="001166A8">
      <w:pPr>
        <w:pStyle w:val="ListParagraph"/>
        <w:numPr>
          <w:ilvl w:val="0"/>
          <w:numId w:val="4"/>
        </w:numPr>
        <w:rPr>
          <w:rFonts w:ascii="Garamond" w:hAnsi="Garamond"/>
          <w:sz w:val="24"/>
          <w:szCs w:val="24"/>
        </w:rPr>
      </w:pPr>
      <w:r w:rsidRPr="001166A8">
        <w:rPr>
          <w:rFonts w:ascii="Garamond" w:hAnsi="Garamond"/>
          <w:sz w:val="24"/>
          <w:szCs w:val="24"/>
        </w:rPr>
        <w:t xml:space="preserve">Supported Employment </w:t>
      </w:r>
    </w:p>
    <w:p w:rsidR="00602BD8" w:rsidRPr="001166A8" w:rsidRDefault="00707A2C" w:rsidP="001166A8">
      <w:pPr>
        <w:pStyle w:val="ListParagraph"/>
        <w:numPr>
          <w:ilvl w:val="0"/>
          <w:numId w:val="4"/>
        </w:numPr>
        <w:rPr>
          <w:rFonts w:ascii="Garamond" w:hAnsi="Garamond"/>
          <w:sz w:val="24"/>
          <w:szCs w:val="24"/>
        </w:rPr>
      </w:pPr>
      <w:r w:rsidRPr="001166A8">
        <w:rPr>
          <w:rFonts w:ascii="Garamond" w:hAnsi="Garamond"/>
          <w:sz w:val="24"/>
          <w:szCs w:val="24"/>
        </w:rPr>
        <w:t xml:space="preserve">Supported Housing </w:t>
      </w:r>
    </w:p>
    <w:p w:rsidR="00602BD8" w:rsidRPr="001166A8" w:rsidRDefault="00707A2C" w:rsidP="001166A8">
      <w:pPr>
        <w:pStyle w:val="ListParagraph"/>
        <w:numPr>
          <w:ilvl w:val="0"/>
          <w:numId w:val="4"/>
        </w:numPr>
        <w:rPr>
          <w:rFonts w:ascii="Garamond" w:hAnsi="Garamond"/>
          <w:sz w:val="24"/>
          <w:szCs w:val="24"/>
        </w:rPr>
      </w:pPr>
      <w:r w:rsidRPr="001166A8">
        <w:rPr>
          <w:rFonts w:ascii="Garamond" w:hAnsi="Garamond"/>
          <w:sz w:val="24"/>
          <w:szCs w:val="24"/>
        </w:rPr>
        <w:t xml:space="preserve">Cognitive Behavioral Treatment  </w:t>
      </w:r>
    </w:p>
    <w:p w:rsidR="001166A8" w:rsidRPr="001166A8" w:rsidRDefault="001166A8" w:rsidP="001166A8">
      <w:pPr>
        <w:rPr>
          <w:rFonts w:ascii="Garamond" w:hAnsi="Garamond"/>
          <w:sz w:val="24"/>
          <w:szCs w:val="24"/>
        </w:rPr>
      </w:pPr>
    </w:p>
    <w:sectPr w:rsidR="001166A8" w:rsidRPr="001166A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9BF" w:rsidRDefault="002359BF" w:rsidP="00152C67">
      <w:pPr>
        <w:spacing w:after="0" w:line="240" w:lineRule="auto"/>
      </w:pPr>
      <w:r>
        <w:separator/>
      </w:r>
    </w:p>
  </w:endnote>
  <w:endnote w:type="continuationSeparator" w:id="0">
    <w:p w:rsidR="002359BF" w:rsidRDefault="002359BF" w:rsidP="0015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559720"/>
      <w:docPartObj>
        <w:docPartGallery w:val="Page Numbers (Bottom of Page)"/>
        <w:docPartUnique/>
      </w:docPartObj>
    </w:sdtPr>
    <w:sdtEndPr>
      <w:rPr>
        <w:noProof/>
      </w:rPr>
    </w:sdtEndPr>
    <w:sdtContent>
      <w:p w:rsidR="00152C67" w:rsidRDefault="00152C67">
        <w:pPr>
          <w:pStyle w:val="Footer"/>
          <w:jc w:val="right"/>
        </w:pPr>
        <w:r>
          <w:fldChar w:fldCharType="begin"/>
        </w:r>
        <w:r>
          <w:instrText xml:space="preserve"> PAGE   \* MERGEFORMAT </w:instrText>
        </w:r>
        <w:r>
          <w:fldChar w:fldCharType="separate"/>
        </w:r>
        <w:r w:rsidR="00A2157C">
          <w:rPr>
            <w:noProof/>
          </w:rPr>
          <w:t>6</w:t>
        </w:r>
        <w:r>
          <w:rPr>
            <w:noProof/>
          </w:rPr>
          <w:fldChar w:fldCharType="end"/>
        </w:r>
      </w:p>
    </w:sdtContent>
  </w:sdt>
  <w:p w:rsidR="00152C67" w:rsidRDefault="00152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9BF" w:rsidRDefault="002359BF" w:rsidP="00152C67">
      <w:pPr>
        <w:spacing w:after="0" w:line="240" w:lineRule="auto"/>
      </w:pPr>
      <w:r>
        <w:separator/>
      </w:r>
    </w:p>
  </w:footnote>
  <w:footnote w:type="continuationSeparator" w:id="0">
    <w:p w:rsidR="002359BF" w:rsidRDefault="002359BF" w:rsidP="00152C67">
      <w:pPr>
        <w:spacing w:after="0" w:line="240" w:lineRule="auto"/>
      </w:pPr>
      <w:r>
        <w:continuationSeparator/>
      </w:r>
    </w:p>
  </w:footnote>
  <w:footnote w:id="1">
    <w:p w:rsidR="00F64DD6" w:rsidRPr="003333EC" w:rsidRDefault="00F64DD6" w:rsidP="00F64DD6">
      <w:pPr>
        <w:pStyle w:val="FootnoteText"/>
        <w:rPr>
          <w:rFonts w:ascii="Garamond" w:hAnsi="Garamond"/>
        </w:rPr>
      </w:pPr>
      <w:r w:rsidRPr="003333EC">
        <w:rPr>
          <w:rStyle w:val="FootnoteReference"/>
          <w:rFonts w:ascii="Garamond" w:hAnsi="Garamond"/>
        </w:rPr>
        <w:footnoteRef/>
      </w:r>
      <w:r w:rsidRPr="003333EC">
        <w:rPr>
          <w:rFonts w:ascii="Garamond" w:hAnsi="Garamond"/>
        </w:rPr>
        <w:t xml:space="preserve"> Council of  State Governments Justice Center</w:t>
      </w:r>
      <w:r w:rsidR="00CB0B05">
        <w:rPr>
          <w:rFonts w:ascii="Garamond" w:hAnsi="Garamond"/>
        </w:rPr>
        <w:t>,</w:t>
      </w:r>
      <w:r w:rsidR="00CB0B05" w:rsidRPr="00CB0B05">
        <w:rPr>
          <w:rFonts w:ascii="Garamond" w:hAnsi="Garamond"/>
        </w:rPr>
        <w:t xml:space="preserve"> “Improving Outcomes for People With Mental Illness Under Community Corrections Supervision: A Guide to Research-Informed Policy and Practice,” (New York, 2009)</w:t>
      </w:r>
      <w:r w:rsidR="00CB0B05">
        <w:rPr>
          <w:rFonts w:ascii="Garamond" w:hAnsi="Garamond"/>
        </w:rPr>
        <w:t>.</w:t>
      </w:r>
    </w:p>
  </w:footnote>
  <w:footnote w:id="2">
    <w:p w:rsidR="001166A8" w:rsidRPr="00CB0B05" w:rsidRDefault="001166A8">
      <w:pPr>
        <w:pStyle w:val="FootnoteText"/>
        <w:rPr>
          <w:rFonts w:ascii="Garamond" w:hAnsi="Garamond"/>
        </w:rPr>
      </w:pPr>
      <w:r w:rsidRPr="00CB0B05">
        <w:rPr>
          <w:rStyle w:val="FootnoteReference"/>
          <w:rFonts w:ascii="Garamond" w:hAnsi="Garamond"/>
        </w:rPr>
        <w:footnoteRef/>
      </w:r>
      <w:r w:rsidRPr="00CB0B05">
        <w:rPr>
          <w:rFonts w:ascii="Garamond" w:hAnsi="Garamond"/>
        </w:rPr>
        <w:t xml:space="preserve"> Alex M. Blandford, MPH, and Fred C. Osher, MD</w:t>
      </w:r>
      <w:r w:rsidR="00CB0B05" w:rsidRPr="00CB0B05">
        <w:rPr>
          <w:rFonts w:ascii="Garamond" w:hAnsi="Garamond"/>
        </w:rPr>
        <w:t xml:space="preserve"> (2012).</w:t>
      </w:r>
      <w:r w:rsidRPr="00CB0B05">
        <w:rPr>
          <w:rFonts w:ascii="Garamond" w:hAnsi="Garamond"/>
        </w:rPr>
        <w:t xml:space="preserve"> “A Checklist for Implementing Evidence-Based Practices and Programs for Justice-Involved Adults with Behavioral Health Disorders. Delmar, NY: SAMHSA’s GAINS Center for Behavioral Health and Justice Transformation.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E6A"/>
    <w:multiLevelType w:val="hybridMultilevel"/>
    <w:tmpl w:val="B82611B0"/>
    <w:lvl w:ilvl="0" w:tplc="DFB492E4">
      <w:start w:val="1"/>
      <w:numFmt w:val="decimal"/>
      <w:lvlText w:val="%1."/>
      <w:lvlJc w:val="left"/>
      <w:pPr>
        <w:tabs>
          <w:tab w:val="num" w:pos="360"/>
        </w:tabs>
        <w:ind w:left="360" w:hanging="360"/>
      </w:pPr>
    </w:lvl>
    <w:lvl w:ilvl="1" w:tplc="BFBE5718">
      <w:start w:val="2471"/>
      <w:numFmt w:val="bullet"/>
      <w:lvlText w:val=""/>
      <w:lvlJc w:val="left"/>
      <w:pPr>
        <w:tabs>
          <w:tab w:val="num" w:pos="1080"/>
        </w:tabs>
        <w:ind w:left="1080" w:hanging="360"/>
      </w:pPr>
      <w:rPr>
        <w:rFonts w:ascii="Wingdings" w:hAnsi="Wingdings" w:hint="default"/>
      </w:rPr>
    </w:lvl>
    <w:lvl w:ilvl="2" w:tplc="88FA7100" w:tentative="1">
      <w:start w:val="1"/>
      <w:numFmt w:val="decimal"/>
      <w:lvlText w:val="%3."/>
      <w:lvlJc w:val="left"/>
      <w:pPr>
        <w:tabs>
          <w:tab w:val="num" w:pos="1800"/>
        </w:tabs>
        <w:ind w:left="1800" w:hanging="360"/>
      </w:pPr>
    </w:lvl>
    <w:lvl w:ilvl="3" w:tplc="7E561E98" w:tentative="1">
      <w:start w:val="1"/>
      <w:numFmt w:val="decimal"/>
      <w:lvlText w:val="%4."/>
      <w:lvlJc w:val="left"/>
      <w:pPr>
        <w:tabs>
          <w:tab w:val="num" w:pos="2520"/>
        </w:tabs>
        <w:ind w:left="2520" w:hanging="360"/>
      </w:pPr>
    </w:lvl>
    <w:lvl w:ilvl="4" w:tplc="2BB4DDF2" w:tentative="1">
      <w:start w:val="1"/>
      <w:numFmt w:val="decimal"/>
      <w:lvlText w:val="%5."/>
      <w:lvlJc w:val="left"/>
      <w:pPr>
        <w:tabs>
          <w:tab w:val="num" w:pos="3240"/>
        </w:tabs>
        <w:ind w:left="3240" w:hanging="360"/>
      </w:pPr>
    </w:lvl>
    <w:lvl w:ilvl="5" w:tplc="097C40C6" w:tentative="1">
      <w:start w:val="1"/>
      <w:numFmt w:val="decimal"/>
      <w:lvlText w:val="%6."/>
      <w:lvlJc w:val="left"/>
      <w:pPr>
        <w:tabs>
          <w:tab w:val="num" w:pos="3960"/>
        </w:tabs>
        <w:ind w:left="3960" w:hanging="360"/>
      </w:pPr>
    </w:lvl>
    <w:lvl w:ilvl="6" w:tplc="5EC0670E" w:tentative="1">
      <w:start w:val="1"/>
      <w:numFmt w:val="decimal"/>
      <w:lvlText w:val="%7."/>
      <w:lvlJc w:val="left"/>
      <w:pPr>
        <w:tabs>
          <w:tab w:val="num" w:pos="4680"/>
        </w:tabs>
        <w:ind w:left="4680" w:hanging="360"/>
      </w:pPr>
    </w:lvl>
    <w:lvl w:ilvl="7" w:tplc="E03258A4" w:tentative="1">
      <w:start w:val="1"/>
      <w:numFmt w:val="decimal"/>
      <w:lvlText w:val="%8."/>
      <w:lvlJc w:val="left"/>
      <w:pPr>
        <w:tabs>
          <w:tab w:val="num" w:pos="5400"/>
        </w:tabs>
        <w:ind w:left="5400" w:hanging="360"/>
      </w:pPr>
    </w:lvl>
    <w:lvl w:ilvl="8" w:tplc="F9DE4AE6" w:tentative="1">
      <w:start w:val="1"/>
      <w:numFmt w:val="decimal"/>
      <w:lvlText w:val="%9."/>
      <w:lvlJc w:val="left"/>
      <w:pPr>
        <w:tabs>
          <w:tab w:val="num" w:pos="6120"/>
        </w:tabs>
        <w:ind w:left="6120" w:hanging="360"/>
      </w:pPr>
    </w:lvl>
  </w:abstractNum>
  <w:abstractNum w:abstractNumId="1">
    <w:nsid w:val="13137F10"/>
    <w:multiLevelType w:val="hybridMultilevel"/>
    <w:tmpl w:val="C60420FE"/>
    <w:lvl w:ilvl="0" w:tplc="05FAB25A">
      <w:start w:val="1"/>
      <w:numFmt w:val="bullet"/>
      <w:lvlText w:val=""/>
      <w:lvlJc w:val="left"/>
      <w:pPr>
        <w:tabs>
          <w:tab w:val="num" w:pos="720"/>
        </w:tabs>
        <w:ind w:left="720" w:hanging="360"/>
      </w:pPr>
      <w:rPr>
        <w:rFonts w:ascii="Wingdings 2" w:hAnsi="Wingdings 2" w:hint="default"/>
      </w:rPr>
    </w:lvl>
    <w:lvl w:ilvl="1" w:tplc="DBEEEA2C" w:tentative="1">
      <w:start w:val="1"/>
      <w:numFmt w:val="bullet"/>
      <w:lvlText w:val=""/>
      <w:lvlJc w:val="left"/>
      <w:pPr>
        <w:tabs>
          <w:tab w:val="num" w:pos="1440"/>
        </w:tabs>
        <w:ind w:left="1440" w:hanging="360"/>
      </w:pPr>
      <w:rPr>
        <w:rFonts w:ascii="Wingdings 2" w:hAnsi="Wingdings 2" w:hint="default"/>
      </w:rPr>
    </w:lvl>
    <w:lvl w:ilvl="2" w:tplc="3F260210" w:tentative="1">
      <w:start w:val="1"/>
      <w:numFmt w:val="bullet"/>
      <w:lvlText w:val=""/>
      <w:lvlJc w:val="left"/>
      <w:pPr>
        <w:tabs>
          <w:tab w:val="num" w:pos="2160"/>
        </w:tabs>
        <w:ind w:left="2160" w:hanging="360"/>
      </w:pPr>
      <w:rPr>
        <w:rFonts w:ascii="Wingdings 2" w:hAnsi="Wingdings 2" w:hint="default"/>
      </w:rPr>
    </w:lvl>
    <w:lvl w:ilvl="3" w:tplc="5F582C1A" w:tentative="1">
      <w:start w:val="1"/>
      <w:numFmt w:val="bullet"/>
      <w:lvlText w:val=""/>
      <w:lvlJc w:val="left"/>
      <w:pPr>
        <w:tabs>
          <w:tab w:val="num" w:pos="2880"/>
        </w:tabs>
        <w:ind w:left="2880" w:hanging="360"/>
      </w:pPr>
      <w:rPr>
        <w:rFonts w:ascii="Wingdings 2" w:hAnsi="Wingdings 2" w:hint="default"/>
      </w:rPr>
    </w:lvl>
    <w:lvl w:ilvl="4" w:tplc="3A58A4F6" w:tentative="1">
      <w:start w:val="1"/>
      <w:numFmt w:val="bullet"/>
      <w:lvlText w:val=""/>
      <w:lvlJc w:val="left"/>
      <w:pPr>
        <w:tabs>
          <w:tab w:val="num" w:pos="3600"/>
        </w:tabs>
        <w:ind w:left="3600" w:hanging="360"/>
      </w:pPr>
      <w:rPr>
        <w:rFonts w:ascii="Wingdings 2" w:hAnsi="Wingdings 2" w:hint="default"/>
      </w:rPr>
    </w:lvl>
    <w:lvl w:ilvl="5" w:tplc="DDBAC8F8" w:tentative="1">
      <w:start w:val="1"/>
      <w:numFmt w:val="bullet"/>
      <w:lvlText w:val=""/>
      <w:lvlJc w:val="left"/>
      <w:pPr>
        <w:tabs>
          <w:tab w:val="num" w:pos="4320"/>
        </w:tabs>
        <w:ind w:left="4320" w:hanging="360"/>
      </w:pPr>
      <w:rPr>
        <w:rFonts w:ascii="Wingdings 2" w:hAnsi="Wingdings 2" w:hint="default"/>
      </w:rPr>
    </w:lvl>
    <w:lvl w:ilvl="6" w:tplc="5E4042C0" w:tentative="1">
      <w:start w:val="1"/>
      <w:numFmt w:val="bullet"/>
      <w:lvlText w:val=""/>
      <w:lvlJc w:val="left"/>
      <w:pPr>
        <w:tabs>
          <w:tab w:val="num" w:pos="5040"/>
        </w:tabs>
        <w:ind w:left="5040" w:hanging="360"/>
      </w:pPr>
      <w:rPr>
        <w:rFonts w:ascii="Wingdings 2" w:hAnsi="Wingdings 2" w:hint="default"/>
      </w:rPr>
    </w:lvl>
    <w:lvl w:ilvl="7" w:tplc="2E7EEE56" w:tentative="1">
      <w:start w:val="1"/>
      <w:numFmt w:val="bullet"/>
      <w:lvlText w:val=""/>
      <w:lvlJc w:val="left"/>
      <w:pPr>
        <w:tabs>
          <w:tab w:val="num" w:pos="5760"/>
        </w:tabs>
        <w:ind w:left="5760" w:hanging="360"/>
      </w:pPr>
      <w:rPr>
        <w:rFonts w:ascii="Wingdings 2" w:hAnsi="Wingdings 2" w:hint="default"/>
      </w:rPr>
    </w:lvl>
    <w:lvl w:ilvl="8" w:tplc="225EECD0" w:tentative="1">
      <w:start w:val="1"/>
      <w:numFmt w:val="bullet"/>
      <w:lvlText w:val=""/>
      <w:lvlJc w:val="left"/>
      <w:pPr>
        <w:tabs>
          <w:tab w:val="num" w:pos="6480"/>
        </w:tabs>
        <w:ind w:left="6480" w:hanging="360"/>
      </w:pPr>
      <w:rPr>
        <w:rFonts w:ascii="Wingdings 2" w:hAnsi="Wingdings 2" w:hint="default"/>
      </w:rPr>
    </w:lvl>
  </w:abstractNum>
  <w:abstractNum w:abstractNumId="2">
    <w:nsid w:val="2CB71237"/>
    <w:multiLevelType w:val="hybridMultilevel"/>
    <w:tmpl w:val="B12C76E0"/>
    <w:lvl w:ilvl="0" w:tplc="CC02F908">
      <w:start w:val="1"/>
      <w:numFmt w:val="bullet"/>
      <w:lvlText w:val=""/>
      <w:lvlJc w:val="left"/>
      <w:pPr>
        <w:tabs>
          <w:tab w:val="num" w:pos="720"/>
        </w:tabs>
        <w:ind w:left="720" w:hanging="360"/>
      </w:pPr>
      <w:rPr>
        <w:rFonts w:ascii="Wingdings 2" w:hAnsi="Wingdings 2" w:hint="default"/>
      </w:rPr>
    </w:lvl>
    <w:lvl w:ilvl="1" w:tplc="5A20D874" w:tentative="1">
      <w:start w:val="1"/>
      <w:numFmt w:val="bullet"/>
      <w:lvlText w:val=""/>
      <w:lvlJc w:val="left"/>
      <w:pPr>
        <w:tabs>
          <w:tab w:val="num" w:pos="1440"/>
        </w:tabs>
        <w:ind w:left="1440" w:hanging="360"/>
      </w:pPr>
      <w:rPr>
        <w:rFonts w:ascii="Wingdings 2" w:hAnsi="Wingdings 2" w:hint="default"/>
      </w:rPr>
    </w:lvl>
    <w:lvl w:ilvl="2" w:tplc="8528C536" w:tentative="1">
      <w:start w:val="1"/>
      <w:numFmt w:val="bullet"/>
      <w:lvlText w:val=""/>
      <w:lvlJc w:val="left"/>
      <w:pPr>
        <w:tabs>
          <w:tab w:val="num" w:pos="2160"/>
        </w:tabs>
        <w:ind w:left="2160" w:hanging="360"/>
      </w:pPr>
      <w:rPr>
        <w:rFonts w:ascii="Wingdings 2" w:hAnsi="Wingdings 2" w:hint="default"/>
      </w:rPr>
    </w:lvl>
    <w:lvl w:ilvl="3" w:tplc="2E528FD0" w:tentative="1">
      <w:start w:val="1"/>
      <w:numFmt w:val="bullet"/>
      <w:lvlText w:val=""/>
      <w:lvlJc w:val="left"/>
      <w:pPr>
        <w:tabs>
          <w:tab w:val="num" w:pos="2880"/>
        </w:tabs>
        <w:ind w:left="2880" w:hanging="360"/>
      </w:pPr>
      <w:rPr>
        <w:rFonts w:ascii="Wingdings 2" w:hAnsi="Wingdings 2" w:hint="default"/>
      </w:rPr>
    </w:lvl>
    <w:lvl w:ilvl="4" w:tplc="CB783C32" w:tentative="1">
      <w:start w:val="1"/>
      <w:numFmt w:val="bullet"/>
      <w:lvlText w:val=""/>
      <w:lvlJc w:val="left"/>
      <w:pPr>
        <w:tabs>
          <w:tab w:val="num" w:pos="3600"/>
        </w:tabs>
        <w:ind w:left="3600" w:hanging="360"/>
      </w:pPr>
      <w:rPr>
        <w:rFonts w:ascii="Wingdings 2" w:hAnsi="Wingdings 2" w:hint="default"/>
      </w:rPr>
    </w:lvl>
    <w:lvl w:ilvl="5" w:tplc="ACA60CD2" w:tentative="1">
      <w:start w:val="1"/>
      <w:numFmt w:val="bullet"/>
      <w:lvlText w:val=""/>
      <w:lvlJc w:val="left"/>
      <w:pPr>
        <w:tabs>
          <w:tab w:val="num" w:pos="4320"/>
        </w:tabs>
        <w:ind w:left="4320" w:hanging="360"/>
      </w:pPr>
      <w:rPr>
        <w:rFonts w:ascii="Wingdings 2" w:hAnsi="Wingdings 2" w:hint="default"/>
      </w:rPr>
    </w:lvl>
    <w:lvl w:ilvl="6" w:tplc="126C1A6A" w:tentative="1">
      <w:start w:val="1"/>
      <w:numFmt w:val="bullet"/>
      <w:lvlText w:val=""/>
      <w:lvlJc w:val="left"/>
      <w:pPr>
        <w:tabs>
          <w:tab w:val="num" w:pos="5040"/>
        </w:tabs>
        <w:ind w:left="5040" w:hanging="360"/>
      </w:pPr>
      <w:rPr>
        <w:rFonts w:ascii="Wingdings 2" w:hAnsi="Wingdings 2" w:hint="default"/>
      </w:rPr>
    </w:lvl>
    <w:lvl w:ilvl="7" w:tplc="BFF8FE96" w:tentative="1">
      <w:start w:val="1"/>
      <w:numFmt w:val="bullet"/>
      <w:lvlText w:val=""/>
      <w:lvlJc w:val="left"/>
      <w:pPr>
        <w:tabs>
          <w:tab w:val="num" w:pos="5760"/>
        </w:tabs>
        <w:ind w:left="5760" w:hanging="360"/>
      </w:pPr>
      <w:rPr>
        <w:rFonts w:ascii="Wingdings 2" w:hAnsi="Wingdings 2" w:hint="default"/>
      </w:rPr>
    </w:lvl>
    <w:lvl w:ilvl="8" w:tplc="84CE3A98" w:tentative="1">
      <w:start w:val="1"/>
      <w:numFmt w:val="bullet"/>
      <w:lvlText w:val=""/>
      <w:lvlJc w:val="left"/>
      <w:pPr>
        <w:tabs>
          <w:tab w:val="num" w:pos="6480"/>
        </w:tabs>
        <w:ind w:left="6480" w:hanging="360"/>
      </w:pPr>
      <w:rPr>
        <w:rFonts w:ascii="Wingdings 2" w:hAnsi="Wingdings 2" w:hint="default"/>
      </w:rPr>
    </w:lvl>
  </w:abstractNum>
  <w:abstractNum w:abstractNumId="3">
    <w:nsid w:val="461F457A"/>
    <w:multiLevelType w:val="hybridMultilevel"/>
    <w:tmpl w:val="5F3A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E6A6C"/>
    <w:multiLevelType w:val="hybridMultilevel"/>
    <w:tmpl w:val="04CA316E"/>
    <w:lvl w:ilvl="0" w:tplc="9D264BC8">
      <w:start w:val="1"/>
      <w:numFmt w:val="bullet"/>
      <w:lvlText w:val=""/>
      <w:lvlJc w:val="left"/>
      <w:pPr>
        <w:tabs>
          <w:tab w:val="num" w:pos="720"/>
        </w:tabs>
        <w:ind w:left="720" w:hanging="360"/>
      </w:pPr>
      <w:rPr>
        <w:rFonts w:ascii="Wingdings 2" w:hAnsi="Wingdings 2" w:hint="default"/>
      </w:rPr>
    </w:lvl>
    <w:lvl w:ilvl="1" w:tplc="88A47CE6" w:tentative="1">
      <w:start w:val="1"/>
      <w:numFmt w:val="bullet"/>
      <w:lvlText w:val=""/>
      <w:lvlJc w:val="left"/>
      <w:pPr>
        <w:tabs>
          <w:tab w:val="num" w:pos="1440"/>
        </w:tabs>
        <w:ind w:left="1440" w:hanging="360"/>
      </w:pPr>
      <w:rPr>
        <w:rFonts w:ascii="Wingdings 2" w:hAnsi="Wingdings 2" w:hint="default"/>
      </w:rPr>
    </w:lvl>
    <w:lvl w:ilvl="2" w:tplc="11900AC8" w:tentative="1">
      <w:start w:val="1"/>
      <w:numFmt w:val="bullet"/>
      <w:lvlText w:val=""/>
      <w:lvlJc w:val="left"/>
      <w:pPr>
        <w:tabs>
          <w:tab w:val="num" w:pos="2160"/>
        </w:tabs>
        <w:ind w:left="2160" w:hanging="360"/>
      </w:pPr>
      <w:rPr>
        <w:rFonts w:ascii="Wingdings 2" w:hAnsi="Wingdings 2" w:hint="default"/>
      </w:rPr>
    </w:lvl>
    <w:lvl w:ilvl="3" w:tplc="EFA8A37A" w:tentative="1">
      <w:start w:val="1"/>
      <w:numFmt w:val="bullet"/>
      <w:lvlText w:val=""/>
      <w:lvlJc w:val="left"/>
      <w:pPr>
        <w:tabs>
          <w:tab w:val="num" w:pos="2880"/>
        </w:tabs>
        <w:ind w:left="2880" w:hanging="360"/>
      </w:pPr>
      <w:rPr>
        <w:rFonts w:ascii="Wingdings 2" w:hAnsi="Wingdings 2" w:hint="default"/>
      </w:rPr>
    </w:lvl>
    <w:lvl w:ilvl="4" w:tplc="EC6455B2" w:tentative="1">
      <w:start w:val="1"/>
      <w:numFmt w:val="bullet"/>
      <w:lvlText w:val=""/>
      <w:lvlJc w:val="left"/>
      <w:pPr>
        <w:tabs>
          <w:tab w:val="num" w:pos="3600"/>
        </w:tabs>
        <w:ind w:left="3600" w:hanging="360"/>
      </w:pPr>
      <w:rPr>
        <w:rFonts w:ascii="Wingdings 2" w:hAnsi="Wingdings 2" w:hint="default"/>
      </w:rPr>
    </w:lvl>
    <w:lvl w:ilvl="5" w:tplc="F872CAD2" w:tentative="1">
      <w:start w:val="1"/>
      <w:numFmt w:val="bullet"/>
      <w:lvlText w:val=""/>
      <w:lvlJc w:val="left"/>
      <w:pPr>
        <w:tabs>
          <w:tab w:val="num" w:pos="4320"/>
        </w:tabs>
        <w:ind w:left="4320" w:hanging="360"/>
      </w:pPr>
      <w:rPr>
        <w:rFonts w:ascii="Wingdings 2" w:hAnsi="Wingdings 2" w:hint="default"/>
      </w:rPr>
    </w:lvl>
    <w:lvl w:ilvl="6" w:tplc="68CE0FCA" w:tentative="1">
      <w:start w:val="1"/>
      <w:numFmt w:val="bullet"/>
      <w:lvlText w:val=""/>
      <w:lvlJc w:val="left"/>
      <w:pPr>
        <w:tabs>
          <w:tab w:val="num" w:pos="5040"/>
        </w:tabs>
        <w:ind w:left="5040" w:hanging="360"/>
      </w:pPr>
      <w:rPr>
        <w:rFonts w:ascii="Wingdings 2" w:hAnsi="Wingdings 2" w:hint="default"/>
      </w:rPr>
    </w:lvl>
    <w:lvl w:ilvl="7" w:tplc="0BA281FC" w:tentative="1">
      <w:start w:val="1"/>
      <w:numFmt w:val="bullet"/>
      <w:lvlText w:val=""/>
      <w:lvlJc w:val="left"/>
      <w:pPr>
        <w:tabs>
          <w:tab w:val="num" w:pos="5760"/>
        </w:tabs>
        <w:ind w:left="5760" w:hanging="360"/>
      </w:pPr>
      <w:rPr>
        <w:rFonts w:ascii="Wingdings 2" w:hAnsi="Wingdings 2" w:hint="default"/>
      </w:rPr>
    </w:lvl>
    <w:lvl w:ilvl="8" w:tplc="FFF63074" w:tentative="1">
      <w:start w:val="1"/>
      <w:numFmt w:val="bullet"/>
      <w:lvlText w:val=""/>
      <w:lvlJc w:val="left"/>
      <w:pPr>
        <w:tabs>
          <w:tab w:val="num" w:pos="6480"/>
        </w:tabs>
        <w:ind w:left="6480" w:hanging="360"/>
      </w:pPr>
      <w:rPr>
        <w:rFonts w:ascii="Wingdings 2" w:hAnsi="Wingdings 2" w:hint="default"/>
      </w:rPr>
    </w:lvl>
  </w:abstractNum>
  <w:abstractNum w:abstractNumId="5">
    <w:nsid w:val="58C13B4F"/>
    <w:multiLevelType w:val="hybridMultilevel"/>
    <w:tmpl w:val="EFFAF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D2218A"/>
    <w:multiLevelType w:val="hybridMultilevel"/>
    <w:tmpl w:val="CC16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C7DEC"/>
    <w:multiLevelType w:val="hybridMultilevel"/>
    <w:tmpl w:val="549C7380"/>
    <w:lvl w:ilvl="0" w:tplc="6638EEAA">
      <w:start w:val="1"/>
      <w:numFmt w:val="bullet"/>
      <w:lvlText w:val=""/>
      <w:lvlJc w:val="left"/>
      <w:pPr>
        <w:tabs>
          <w:tab w:val="num" w:pos="720"/>
        </w:tabs>
        <w:ind w:left="720" w:hanging="360"/>
      </w:pPr>
      <w:rPr>
        <w:rFonts w:ascii="Wingdings 2" w:hAnsi="Wingdings 2" w:hint="default"/>
      </w:rPr>
    </w:lvl>
    <w:lvl w:ilvl="1" w:tplc="86EEC2FA">
      <w:start w:val="1"/>
      <w:numFmt w:val="bullet"/>
      <w:lvlText w:val=""/>
      <w:lvlJc w:val="left"/>
      <w:pPr>
        <w:tabs>
          <w:tab w:val="num" w:pos="1440"/>
        </w:tabs>
        <w:ind w:left="1440" w:hanging="360"/>
      </w:pPr>
      <w:rPr>
        <w:rFonts w:ascii="Wingdings 2" w:hAnsi="Wingdings 2" w:hint="default"/>
      </w:rPr>
    </w:lvl>
    <w:lvl w:ilvl="2" w:tplc="78C49280" w:tentative="1">
      <w:start w:val="1"/>
      <w:numFmt w:val="bullet"/>
      <w:lvlText w:val=""/>
      <w:lvlJc w:val="left"/>
      <w:pPr>
        <w:tabs>
          <w:tab w:val="num" w:pos="2160"/>
        </w:tabs>
        <w:ind w:left="2160" w:hanging="360"/>
      </w:pPr>
      <w:rPr>
        <w:rFonts w:ascii="Wingdings 2" w:hAnsi="Wingdings 2" w:hint="default"/>
      </w:rPr>
    </w:lvl>
    <w:lvl w:ilvl="3" w:tplc="A31ACE64" w:tentative="1">
      <w:start w:val="1"/>
      <w:numFmt w:val="bullet"/>
      <w:lvlText w:val=""/>
      <w:lvlJc w:val="left"/>
      <w:pPr>
        <w:tabs>
          <w:tab w:val="num" w:pos="2880"/>
        </w:tabs>
        <w:ind w:left="2880" w:hanging="360"/>
      </w:pPr>
      <w:rPr>
        <w:rFonts w:ascii="Wingdings 2" w:hAnsi="Wingdings 2" w:hint="default"/>
      </w:rPr>
    </w:lvl>
    <w:lvl w:ilvl="4" w:tplc="8FB46316" w:tentative="1">
      <w:start w:val="1"/>
      <w:numFmt w:val="bullet"/>
      <w:lvlText w:val=""/>
      <w:lvlJc w:val="left"/>
      <w:pPr>
        <w:tabs>
          <w:tab w:val="num" w:pos="3600"/>
        </w:tabs>
        <w:ind w:left="3600" w:hanging="360"/>
      </w:pPr>
      <w:rPr>
        <w:rFonts w:ascii="Wingdings 2" w:hAnsi="Wingdings 2" w:hint="default"/>
      </w:rPr>
    </w:lvl>
    <w:lvl w:ilvl="5" w:tplc="C01EC0A0" w:tentative="1">
      <w:start w:val="1"/>
      <w:numFmt w:val="bullet"/>
      <w:lvlText w:val=""/>
      <w:lvlJc w:val="left"/>
      <w:pPr>
        <w:tabs>
          <w:tab w:val="num" w:pos="4320"/>
        </w:tabs>
        <w:ind w:left="4320" w:hanging="360"/>
      </w:pPr>
      <w:rPr>
        <w:rFonts w:ascii="Wingdings 2" w:hAnsi="Wingdings 2" w:hint="default"/>
      </w:rPr>
    </w:lvl>
    <w:lvl w:ilvl="6" w:tplc="3DF4148A" w:tentative="1">
      <w:start w:val="1"/>
      <w:numFmt w:val="bullet"/>
      <w:lvlText w:val=""/>
      <w:lvlJc w:val="left"/>
      <w:pPr>
        <w:tabs>
          <w:tab w:val="num" w:pos="5040"/>
        </w:tabs>
        <w:ind w:left="5040" w:hanging="360"/>
      </w:pPr>
      <w:rPr>
        <w:rFonts w:ascii="Wingdings 2" w:hAnsi="Wingdings 2" w:hint="default"/>
      </w:rPr>
    </w:lvl>
    <w:lvl w:ilvl="7" w:tplc="607024A4" w:tentative="1">
      <w:start w:val="1"/>
      <w:numFmt w:val="bullet"/>
      <w:lvlText w:val=""/>
      <w:lvlJc w:val="left"/>
      <w:pPr>
        <w:tabs>
          <w:tab w:val="num" w:pos="5760"/>
        </w:tabs>
        <w:ind w:left="5760" w:hanging="360"/>
      </w:pPr>
      <w:rPr>
        <w:rFonts w:ascii="Wingdings 2" w:hAnsi="Wingdings 2" w:hint="default"/>
      </w:rPr>
    </w:lvl>
    <w:lvl w:ilvl="8" w:tplc="1F5C7CEA" w:tentative="1">
      <w:start w:val="1"/>
      <w:numFmt w:val="bullet"/>
      <w:lvlText w:val=""/>
      <w:lvlJc w:val="left"/>
      <w:pPr>
        <w:tabs>
          <w:tab w:val="num" w:pos="6480"/>
        </w:tabs>
        <w:ind w:left="6480" w:hanging="360"/>
      </w:pPr>
      <w:rPr>
        <w:rFonts w:ascii="Wingdings 2" w:hAnsi="Wingdings 2" w:hint="default"/>
      </w:rPr>
    </w:lvl>
  </w:abstractNum>
  <w:abstractNum w:abstractNumId="8">
    <w:nsid w:val="769A3DBE"/>
    <w:multiLevelType w:val="hybridMultilevel"/>
    <w:tmpl w:val="972C0EB0"/>
    <w:lvl w:ilvl="0" w:tplc="CC02F90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42"/>
    <w:rsid w:val="000C065F"/>
    <w:rsid w:val="000F05DC"/>
    <w:rsid w:val="001166A8"/>
    <w:rsid w:val="00152C67"/>
    <w:rsid w:val="00154542"/>
    <w:rsid w:val="001A3090"/>
    <w:rsid w:val="001E1346"/>
    <w:rsid w:val="002359BF"/>
    <w:rsid w:val="00243C64"/>
    <w:rsid w:val="002B782A"/>
    <w:rsid w:val="0044467B"/>
    <w:rsid w:val="0050147E"/>
    <w:rsid w:val="005321F3"/>
    <w:rsid w:val="005C5FA3"/>
    <w:rsid w:val="00602BD8"/>
    <w:rsid w:val="006D6B65"/>
    <w:rsid w:val="007017DD"/>
    <w:rsid w:val="00707A2C"/>
    <w:rsid w:val="00745AF3"/>
    <w:rsid w:val="00814C56"/>
    <w:rsid w:val="008D777A"/>
    <w:rsid w:val="009506E8"/>
    <w:rsid w:val="00986410"/>
    <w:rsid w:val="009E47E2"/>
    <w:rsid w:val="00A2157C"/>
    <w:rsid w:val="00A779EF"/>
    <w:rsid w:val="00A96AC8"/>
    <w:rsid w:val="00AD49D1"/>
    <w:rsid w:val="00AF6F05"/>
    <w:rsid w:val="00B153AA"/>
    <w:rsid w:val="00B74C75"/>
    <w:rsid w:val="00BA6717"/>
    <w:rsid w:val="00BF49C8"/>
    <w:rsid w:val="00C12B79"/>
    <w:rsid w:val="00CB0B05"/>
    <w:rsid w:val="00D75EF2"/>
    <w:rsid w:val="00E4559C"/>
    <w:rsid w:val="00E74F80"/>
    <w:rsid w:val="00E86A31"/>
    <w:rsid w:val="00E911B0"/>
    <w:rsid w:val="00EA5DB8"/>
    <w:rsid w:val="00EE227A"/>
    <w:rsid w:val="00F47D59"/>
    <w:rsid w:val="00F64DD6"/>
    <w:rsid w:val="00FA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42"/>
    <w:rPr>
      <w:rFonts w:ascii="Tahoma" w:hAnsi="Tahoma" w:cs="Tahoma"/>
      <w:sz w:val="16"/>
      <w:szCs w:val="16"/>
    </w:rPr>
  </w:style>
  <w:style w:type="paragraph" w:styleId="Header">
    <w:name w:val="header"/>
    <w:basedOn w:val="Normal"/>
    <w:link w:val="HeaderChar"/>
    <w:uiPriority w:val="99"/>
    <w:unhideWhenUsed/>
    <w:rsid w:val="0015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67"/>
  </w:style>
  <w:style w:type="paragraph" w:styleId="Footer">
    <w:name w:val="footer"/>
    <w:basedOn w:val="Normal"/>
    <w:link w:val="FooterChar"/>
    <w:uiPriority w:val="99"/>
    <w:unhideWhenUsed/>
    <w:rsid w:val="0015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67"/>
  </w:style>
  <w:style w:type="paragraph" w:styleId="FootnoteText">
    <w:name w:val="footnote text"/>
    <w:basedOn w:val="Normal"/>
    <w:link w:val="FootnoteTextChar"/>
    <w:uiPriority w:val="99"/>
    <w:semiHidden/>
    <w:unhideWhenUsed/>
    <w:rsid w:val="00F64D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DD6"/>
    <w:rPr>
      <w:sz w:val="20"/>
      <w:szCs w:val="20"/>
    </w:rPr>
  </w:style>
  <w:style w:type="character" w:styleId="FootnoteReference">
    <w:name w:val="footnote reference"/>
    <w:rsid w:val="00F64DD6"/>
    <w:rPr>
      <w:vertAlign w:val="superscript"/>
    </w:rPr>
  </w:style>
  <w:style w:type="paragraph" w:styleId="ListParagraph">
    <w:name w:val="List Paragraph"/>
    <w:basedOn w:val="Normal"/>
    <w:uiPriority w:val="34"/>
    <w:qFormat/>
    <w:rsid w:val="001166A8"/>
    <w:pPr>
      <w:ind w:left="720"/>
      <w:contextualSpacing/>
    </w:pPr>
  </w:style>
  <w:style w:type="paragraph" w:styleId="EndnoteText">
    <w:name w:val="endnote text"/>
    <w:basedOn w:val="Normal"/>
    <w:link w:val="EndnoteTextChar"/>
    <w:uiPriority w:val="99"/>
    <w:semiHidden/>
    <w:unhideWhenUsed/>
    <w:rsid w:val="001166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6A8"/>
    <w:rPr>
      <w:sz w:val="20"/>
      <w:szCs w:val="20"/>
    </w:rPr>
  </w:style>
  <w:style w:type="character" w:styleId="EndnoteReference">
    <w:name w:val="endnote reference"/>
    <w:basedOn w:val="DefaultParagraphFont"/>
    <w:uiPriority w:val="99"/>
    <w:semiHidden/>
    <w:unhideWhenUsed/>
    <w:rsid w:val="001166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42"/>
    <w:rPr>
      <w:rFonts w:ascii="Tahoma" w:hAnsi="Tahoma" w:cs="Tahoma"/>
      <w:sz w:val="16"/>
      <w:szCs w:val="16"/>
    </w:rPr>
  </w:style>
  <w:style w:type="paragraph" w:styleId="Header">
    <w:name w:val="header"/>
    <w:basedOn w:val="Normal"/>
    <w:link w:val="HeaderChar"/>
    <w:uiPriority w:val="99"/>
    <w:unhideWhenUsed/>
    <w:rsid w:val="0015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67"/>
  </w:style>
  <w:style w:type="paragraph" w:styleId="Footer">
    <w:name w:val="footer"/>
    <w:basedOn w:val="Normal"/>
    <w:link w:val="FooterChar"/>
    <w:uiPriority w:val="99"/>
    <w:unhideWhenUsed/>
    <w:rsid w:val="0015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67"/>
  </w:style>
  <w:style w:type="paragraph" w:styleId="FootnoteText">
    <w:name w:val="footnote text"/>
    <w:basedOn w:val="Normal"/>
    <w:link w:val="FootnoteTextChar"/>
    <w:uiPriority w:val="99"/>
    <w:semiHidden/>
    <w:unhideWhenUsed/>
    <w:rsid w:val="00F64D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DD6"/>
    <w:rPr>
      <w:sz w:val="20"/>
      <w:szCs w:val="20"/>
    </w:rPr>
  </w:style>
  <w:style w:type="character" w:styleId="FootnoteReference">
    <w:name w:val="footnote reference"/>
    <w:rsid w:val="00F64DD6"/>
    <w:rPr>
      <w:vertAlign w:val="superscript"/>
    </w:rPr>
  </w:style>
  <w:style w:type="paragraph" w:styleId="ListParagraph">
    <w:name w:val="List Paragraph"/>
    <w:basedOn w:val="Normal"/>
    <w:uiPriority w:val="34"/>
    <w:qFormat/>
    <w:rsid w:val="001166A8"/>
    <w:pPr>
      <w:ind w:left="720"/>
      <w:contextualSpacing/>
    </w:pPr>
  </w:style>
  <w:style w:type="paragraph" w:styleId="EndnoteText">
    <w:name w:val="endnote text"/>
    <w:basedOn w:val="Normal"/>
    <w:link w:val="EndnoteTextChar"/>
    <w:uiPriority w:val="99"/>
    <w:semiHidden/>
    <w:unhideWhenUsed/>
    <w:rsid w:val="001166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6A8"/>
    <w:rPr>
      <w:sz w:val="20"/>
      <w:szCs w:val="20"/>
    </w:rPr>
  </w:style>
  <w:style w:type="character" w:styleId="EndnoteReference">
    <w:name w:val="endnote reference"/>
    <w:basedOn w:val="DefaultParagraphFont"/>
    <w:uiPriority w:val="99"/>
    <w:semiHidden/>
    <w:unhideWhenUsed/>
    <w:rsid w:val="001166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5916">
      <w:bodyDiv w:val="1"/>
      <w:marLeft w:val="0"/>
      <w:marRight w:val="0"/>
      <w:marTop w:val="0"/>
      <w:marBottom w:val="0"/>
      <w:divBdr>
        <w:top w:val="none" w:sz="0" w:space="0" w:color="auto"/>
        <w:left w:val="none" w:sz="0" w:space="0" w:color="auto"/>
        <w:bottom w:val="none" w:sz="0" w:space="0" w:color="auto"/>
        <w:right w:val="none" w:sz="0" w:space="0" w:color="auto"/>
      </w:divBdr>
      <w:divsChild>
        <w:div w:id="654989868">
          <w:marLeft w:val="432"/>
          <w:marRight w:val="0"/>
          <w:marTop w:val="130"/>
          <w:marBottom w:val="0"/>
          <w:divBdr>
            <w:top w:val="none" w:sz="0" w:space="0" w:color="auto"/>
            <w:left w:val="none" w:sz="0" w:space="0" w:color="auto"/>
            <w:bottom w:val="none" w:sz="0" w:space="0" w:color="auto"/>
            <w:right w:val="none" w:sz="0" w:space="0" w:color="auto"/>
          </w:divBdr>
        </w:div>
        <w:div w:id="412775866">
          <w:marLeft w:val="893"/>
          <w:marRight w:val="0"/>
          <w:marTop w:val="125"/>
          <w:marBottom w:val="0"/>
          <w:divBdr>
            <w:top w:val="none" w:sz="0" w:space="0" w:color="auto"/>
            <w:left w:val="none" w:sz="0" w:space="0" w:color="auto"/>
            <w:bottom w:val="none" w:sz="0" w:space="0" w:color="auto"/>
            <w:right w:val="none" w:sz="0" w:space="0" w:color="auto"/>
          </w:divBdr>
        </w:div>
        <w:div w:id="870075244">
          <w:marLeft w:val="432"/>
          <w:marRight w:val="0"/>
          <w:marTop w:val="125"/>
          <w:marBottom w:val="0"/>
          <w:divBdr>
            <w:top w:val="none" w:sz="0" w:space="0" w:color="auto"/>
            <w:left w:val="none" w:sz="0" w:space="0" w:color="auto"/>
            <w:bottom w:val="none" w:sz="0" w:space="0" w:color="auto"/>
            <w:right w:val="none" w:sz="0" w:space="0" w:color="auto"/>
          </w:divBdr>
        </w:div>
        <w:div w:id="131825350">
          <w:marLeft w:val="432"/>
          <w:marRight w:val="0"/>
          <w:marTop w:val="125"/>
          <w:marBottom w:val="0"/>
          <w:divBdr>
            <w:top w:val="none" w:sz="0" w:space="0" w:color="auto"/>
            <w:left w:val="none" w:sz="0" w:space="0" w:color="auto"/>
            <w:bottom w:val="none" w:sz="0" w:space="0" w:color="auto"/>
            <w:right w:val="none" w:sz="0" w:space="0" w:color="auto"/>
          </w:divBdr>
        </w:div>
        <w:div w:id="191655557">
          <w:marLeft w:val="432"/>
          <w:marRight w:val="0"/>
          <w:marTop w:val="125"/>
          <w:marBottom w:val="0"/>
          <w:divBdr>
            <w:top w:val="none" w:sz="0" w:space="0" w:color="auto"/>
            <w:left w:val="none" w:sz="0" w:space="0" w:color="auto"/>
            <w:bottom w:val="none" w:sz="0" w:space="0" w:color="auto"/>
            <w:right w:val="none" w:sz="0" w:space="0" w:color="auto"/>
          </w:divBdr>
        </w:div>
      </w:divsChild>
    </w:div>
    <w:div w:id="1070809604">
      <w:bodyDiv w:val="1"/>
      <w:marLeft w:val="0"/>
      <w:marRight w:val="0"/>
      <w:marTop w:val="0"/>
      <w:marBottom w:val="0"/>
      <w:divBdr>
        <w:top w:val="none" w:sz="0" w:space="0" w:color="auto"/>
        <w:left w:val="none" w:sz="0" w:space="0" w:color="auto"/>
        <w:bottom w:val="none" w:sz="0" w:space="0" w:color="auto"/>
        <w:right w:val="none" w:sz="0" w:space="0" w:color="auto"/>
      </w:divBdr>
      <w:divsChild>
        <w:div w:id="1410538464">
          <w:marLeft w:val="806"/>
          <w:marRight w:val="0"/>
          <w:marTop w:val="134"/>
          <w:marBottom w:val="0"/>
          <w:divBdr>
            <w:top w:val="none" w:sz="0" w:space="0" w:color="auto"/>
            <w:left w:val="none" w:sz="0" w:space="0" w:color="auto"/>
            <w:bottom w:val="none" w:sz="0" w:space="0" w:color="auto"/>
            <w:right w:val="none" w:sz="0" w:space="0" w:color="auto"/>
          </w:divBdr>
        </w:div>
        <w:div w:id="1240364462">
          <w:marLeft w:val="864"/>
          <w:marRight w:val="0"/>
          <w:marTop w:val="106"/>
          <w:marBottom w:val="0"/>
          <w:divBdr>
            <w:top w:val="none" w:sz="0" w:space="0" w:color="auto"/>
            <w:left w:val="none" w:sz="0" w:space="0" w:color="auto"/>
            <w:bottom w:val="none" w:sz="0" w:space="0" w:color="auto"/>
            <w:right w:val="none" w:sz="0" w:space="0" w:color="auto"/>
          </w:divBdr>
        </w:div>
        <w:div w:id="293798887">
          <w:marLeft w:val="864"/>
          <w:marRight w:val="0"/>
          <w:marTop w:val="106"/>
          <w:marBottom w:val="0"/>
          <w:divBdr>
            <w:top w:val="none" w:sz="0" w:space="0" w:color="auto"/>
            <w:left w:val="none" w:sz="0" w:space="0" w:color="auto"/>
            <w:bottom w:val="none" w:sz="0" w:space="0" w:color="auto"/>
            <w:right w:val="none" w:sz="0" w:space="0" w:color="auto"/>
          </w:divBdr>
        </w:div>
      </w:divsChild>
    </w:div>
    <w:div w:id="1594045010">
      <w:bodyDiv w:val="1"/>
      <w:marLeft w:val="0"/>
      <w:marRight w:val="0"/>
      <w:marTop w:val="0"/>
      <w:marBottom w:val="0"/>
      <w:divBdr>
        <w:top w:val="none" w:sz="0" w:space="0" w:color="auto"/>
        <w:left w:val="none" w:sz="0" w:space="0" w:color="auto"/>
        <w:bottom w:val="none" w:sz="0" w:space="0" w:color="auto"/>
        <w:right w:val="none" w:sz="0" w:space="0" w:color="auto"/>
      </w:divBdr>
      <w:divsChild>
        <w:div w:id="676536745">
          <w:marLeft w:val="432"/>
          <w:marRight w:val="0"/>
          <w:marTop w:val="96"/>
          <w:marBottom w:val="0"/>
          <w:divBdr>
            <w:top w:val="none" w:sz="0" w:space="0" w:color="auto"/>
            <w:left w:val="none" w:sz="0" w:space="0" w:color="auto"/>
            <w:bottom w:val="none" w:sz="0" w:space="0" w:color="auto"/>
            <w:right w:val="none" w:sz="0" w:space="0" w:color="auto"/>
          </w:divBdr>
        </w:div>
        <w:div w:id="1483693272">
          <w:marLeft w:val="432"/>
          <w:marRight w:val="0"/>
          <w:marTop w:val="96"/>
          <w:marBottom w:val="0"/>
          <w:divBdr>
            <w:top w:val="none" w:sz="0" w:space="0" w:color="auto"/>
            <w:left w:val="none" w:sz="0" w:space="0" w:color="auto"/>
            <w:bottom w:val="none" w:sz="0" w:space="0" w:color="auto"/>
            <w:right w:val="none" w:sz="0" w:space="0" w:color="auto"/>
          </w:divBdr>
        </w:div>
        <w:div w:id="665404231">
          <w:marLeft w:val="432"/>
          <w:marRight w:val="0"/>
          <w:marTop w:val="96"/>
          <w:marBottom w:val="0"/>
          <w:divBdr>
            <w:top w:val="none" w:sz="0" w:space="0" w:color="auto"/>
            <w:left w:val="none" w:sz="0" w:space="0" w:color="auto"/>
            <w:bottom w:val="none" w:sz="0" w:space="0" w:color="auto"/>
            <w:right w:val="none" w:sz="0" w:space="0" w:color="auto"/>
          </w:divBdr>
        </w:div>
        <w:div w:id="889463747">
          <w:marLeft w:val="432"/>
          <w:marRight w:val="0"/>
          <w:marTop w:val="96"/>
          <w:marBottom w:val="0"/>
          <w:divBdr>
            <w:top w:val="none" w:sz="0" w:space="0" w:color="auto"/>
            <w:left w:val="none" w:sz="0" w:space="0" w:color="auto"/>
            <w:bottom w:val="none" w:sz="0" w:space="0" w:color="auto"/>
            <w:right w:val="none" w:sz="0" w:space="0" w:color="auto"/>
          </w:divBdr>
        </w:div>
        <w:div w:id="1126240114">
          <w:marLeft w:val="432"/>
          <w:marRight w:val="0"/>
          <w:marTop w:val="96"/>
          <w:marBottom w:val="0"/>
          <w:divBdr>
            <w:top w:val="none" w:sz="0" w:space="0" w:color="auto"/>
            <w:left w:val="none" w:sz="0" w:space="0" w:color="auto"/>
            <w:bottom w:val="none" w:sz="0" w:space="0" w:color="auto"/>
            <w:right w:val="none" w:sz="0" w:space="0" w:color="auto"/>
          </w:divBdr>
        </w:div>
        <w:div w:id="1065373305">
          <w:marLeft w:val="432"/>
          <w:marRight w:val="0"/>
          <w:marTop w:val="96"/>
          <w:marBottom w:val="0"/>
          <w:divBdr>
            <w:top w:val="none" w:sz="0" w:space="0" w:color="auto"/>
            <w:left w:val="none" w:sz="0" w:space="0" w:color="auto"/>
            <w:bottom w:val="none" w:sz="0" w:space="0" w:color="auto"/>
            <w:right w:val="none" w:sz="0" w:space="0" w:color="auto"/>
          </w:divBdr>
        </w:div>
        <w:div w:id="1179083945">
          <w:marLeft w:val="432"/>
          <w:marRight w:val="0"/>
          <w:marTop w:val="96"/>
          <w:marBottom w:val="0"/>
          <w:divBdr>
            <w:top w:val="none" w:sz="0" w:space="0" w:color="auto"/>
            <w:left w:val="none" w:sz="0" w:space="0" w:color="auto"/>
            <w:bottom w:val="none" w:sz="0" w:space="0" w:color="auto"/>
            <w:right w:val="none" w:sz="0" w:space="0" w:color="auto"/>
          </w:divBdr>
        </w:div>
        <w:div w:id="1303123562">
          <w:marLeft w:val="432"/>
          <w:marRight w:val="0"/>
          <w:marTop w:val="96"/>
          <w:marBottom w:val="0"/>
          <w:divBdr>
            <w:top w:val="none" w:sz="0" w:space="0" w:color="auto"/>
            <w:left w:val="none" w:sz="0" w:space="0" w:color="auto"/>
            <w:bottom w:val="none" w:sz="0" w:space="0" w:color="auto"/>
            <w:right w:val="none" w:sz="0" w:space="0" w:color="auto"/>
          </w:divBdr>
        </w:div>
      </w:divsChild>
    </w:div>
    <w:div w:id="1813935859">
      <w:bodyDiv w:val="1"/>
      <w:marLeft w:val="0"/>
      <w:marRight w:val="0"/>
      <w:marTop w:val="0"/>
      <w:marBottom w:val="0"/>
      <w:divBdr>
        <w:top w:val="none" w:sz="0" w:space="0" w:color="auto"/>
        <w:left w:val="none" w:sz="0" w:space="0" w:color="auto"/>
        <w:bottom w:val="none" w:sz="0" w:space="0" w:color="auto"/>
        <w:right w:val="none" w:sz="0" w:space="0" w:color="auto"/>
      </w:divBdr>
      <w:divsChild>
        <w:div w:id="1795447133">
          <w:marLeft w:val="0"/>
          <w:marRight w:val="0"/>
          <w:marTop w:val="0"/>
          <w:marBottom w:val="0"/>
          <w:divBdr>
            <w:top w:val="none" w:sz="0" w:space="0" w:color="auto"/>
            <w:left w:val="none" w:sz="0" w:space="0" w:color="auto"/>
            <w:bottom w:val="none" w:sz="0" w:space="0" w:color="auto"/>
            <w:right w:val="none" w:sz="0" w:space="0" w:color="auto"/>
          </w:divBdr>
          <w:divsChild>
            <w:div w:id="1031341706">
              <w:marLeft w:val="0"/>
              <w:marRight w:val="0"/>
              <w:marTop w:val="0"/>
              <w:marBottom w:val="0"/>
              <w:divBdr>
                <w:top w:val="none" w:sz="0" w:space="0" w:color="auto"/>
                <w:left w:val="none" w:sz="0" w:space="0" w:color="auto"/>
                <w:bottom w:val="none" w:sz="0" w:space="0" w:color="auto"/>
                <w:right w:val="none" w:sz="0" w:space="0" w:color="auto"/>
              </w:divBdr>
              <w:divsChild>
                <w:div w:id="1087536835">
                  <w:marLeft w:val="0"/>
                  <w:marRight w:val="0"/>
                  <w:marTop w:val="0"/>
                  <w:marBottom w:val="0"/>
                  <w:divBdr>
                    <w:top w:val="none" w:sz="0" w:space="0" w:color="auto"/>
                    <w:left w:val="none" w:sz="0" w:space="0" w:color="auto"/>
                    <w:bottom w:val="none" w:sz="0" w:space="0" w:color="auto"/>
                    <w:right w:val="none" w:sz="0" w:space="0" w:color="auto"/>
                  </w:divBdr>
                  <w:divsChild>
                    <w:div w:id="452795155">
                      <w:marLeft w:val="0"/>
                      <w:marRight w:val="0"/>
                      <w:marTop w:val="0"/>
                      <w:marBottom w:val="0"/>
                      <w:divBdr>
                        <w:top w:val="none" w:sz="0" w:space="0" w:color="auto"/>
                        <w:left w:val="none" w:sz="0" w:space="0" w:color="auto"/>
                        <w:bottom w:val="none" w:sz="0" w:space="0" w:color="auto"/>
                        <w:right w:val="none" w:sz="0" w:space="0" w:color="auto"/>
                      </w:divBdr>
                      <w:divsChild>
                        <w:div w:id="1492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405E-2739-4C98-8A89-D255DCE3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1406</Words>
  <Characters>8015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Shelagh Little</dc:creator>
  <cp:lastModifiedBy>Borelli, Sunshine</cp:lastModifiedBy>
  <cp:revision>2</cp:revision>
  <dcterms:created xsi:type="dcterms:W3CDTF">2013-06-03T16:00:00Z</dcterms:created>
  <dcterms:modified xsi:type="dcterms:W3CDTF">2013-06-03T16:00:00Z</dcterms:modified>
</cp:coreProperties>
</file>